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12.0.0 -->
  <w:body>
    <w:p w:rsidR="00EB330E" w:rsidP="001B186B">
      <w:pPr>
        <w:pStyle w:val="Paragraph"/>
        <w:shd w:val="clear" w:color="auto" w:fill="auto"/>
        <w:jc w:val="left"/>
        <w:outlineLvl w:val="9"/>
        <w:rPr>
          <w:color w:val="000000"/>
        </w:rPr>
        <w:sectPr w:rsidSect="00EB330E">
          <w:pgSz w:w="12240" w:h="15840"/>
          <w:pgMar w:top="1440" w:right="1440" w:bottom="1440" w:left="1440" w:header="720" w:footer="720" w:gutter="0"/>
          <w:cols w:space="720"/>
        </w:sectPr>
      </w:pPr>
      <w:r>
        <w:t>Document title: Episap privacy policy.</w:t>
      </w:r>
    </w:p>
    <w:p w:rsidR="00EB330E" w:rsidP="001B186B">
      <w:pPr>
        <w:pStyle w:val="Paragraph"/>
        <w:shd w:val="clear" w:color="auto" w:fill="auto"/>
        <w:outlineLvl w:val="9"/>
        <w:rPr>
          <w:color w:val="000000"/>
        </w:rPr>
      </w:pPr>
      <w:r>
        <w:t>Episap provides a case-first multidisciplinary team (MDT) workflow for clinical teams. This privacy policy explains how Episap handles personal information, sensitive information and health information when authorised users prepare, run and document MDT meetings, invite participants, request patient consent and manage patient-case records.</w:t>
      </w:r>
    </w:p>
    <w:p w:rsidR="00EB330E" w:rsidP="001B186B">
      <w:pPr>
        <w:pStyle w:val="DescriptiveHeading"/>
        <w:shd w:val="clear" w:color="auto" w:fill="auto"/>
        <w:outlineLvl w:val="9"/>
        <w:rPr>
          <w:color w:val="000000"/>
        </w:rPr>
      </w:pPr>
      <w:r/>
    </w:p>
    <w:p w:rsidR="00EB330E" w:rsidP="001B186B">
      <w:pPr>
        <w:pStyle w:val="TitleClause"/>
        <w:shd w:val="clear" w:color="auto" w:fill="auto"/>
        <w:outlineLvl w:val="9"/>
        <w:rPr>
          <w:color w:val="000000"/>
        </w:rPr>
      </w:pPr>
      <w:r>
        <w:t>About this privacy policy</w:t>
      </w:r>
    </w:p>
    <w:p w:rsidR="00EB330E" w:rsidP="001B186B">
      <w:pPr>
        <w:pStyle w:val="Untitledsubclause1"/>
        <w:shd w:val="clear" w:color="auto" w:fill="auto"/>
        <w:outlineLvl w:val="9"/>
        <w:rPr>
          <w:color w:val="000000"/>
        </w:rPr>
      </w:pPr>
      <w:r>
        <w:t>We are bound by the Privacy Act 1988 (Cth) (Privacy Act) and the Australian Privacy Principles (APPs). This policy explains how and why we collect, use, hold and disclose your personal information.</w:t>
      </w:r>
    </w:p>
    <w:p w:rsidR="00EB330E" w:rsidP="001B186B">
      <w:pPr>
        <w:pStyle w:val="Untitledsubclause1"/>
        <w:shd w:val="clear" w:color="auto" w:fill="auto"/>
        <w:outlineLvl w:val="9"/>
        <w:rPr>
          <w:color w:val="000000"/>
        </w:rPr>
      </w:pPr>
      <w:r>
        <w:t>"We", "us" and "our" means Episap, the operator of the Episap clinical MDT service.</w:t>
      </w:r>
    </w:p>
    <w:p w:rsidR="00EB330E" w:rsidP="001B186B">
      <w:pPr>
        <w:pStyle w:val="TitleClause"/>
        <w:shd w:val="clear" w:color="auto" w:fill="auto"/>
        <w:outlineLvl w:val="9"/>
        <w:rPr>
          <w:color w:val="000000"/>
        </w:rPr>
      </w:pPr>
      <w:r>
        <w:t>Meaning of personal information and sensitive information</w:t>
      </w:r>
    </w:p>
    <w:p w:rsidR="00EB330E" w:rsidP="001B186B">
      <w:pPr>
        <w:pStyle w:val="NoNumUntitledClause"/>
        <w:shd w:val="clear" w:color="auto" w:fill="auto"/>
        <w:outlineLvl w:val="9"/>
        <w:rPr>
          <w:color w:val="000000"/>
        </w:rPr>
      </w:pPr>
      <w:r>
        <w:t>Personal information is any information or an opinion about an identified individual, or an individual who can be reasonably identified from the information or opinion. Information or an opinion may be personal information regardless of whether it is true.</w:t>
      </w:r>
    </w:p>
    <w:p w:rsidR="00EB330E" w:rsidP="001B186B">
      <w:pPr>
        <w:pStyle w:val="NoNumUntitledClause"/>
        <w:shd w:val="clear" w:color="auto" w:fill="auto"/>
        <w:outlineLvl w:val="9"/>
        <w:rPr>
          <w:color w:val="000000"/>
        </w:rPr>
      </w:pPr>
      <w:r>
        <w:t>Sensitive information means:</w:t>
      </w:r>
    </w:p>
    <w:p w:rsidR="00EB330E" w:rsidP="001B186B">
      <w:pPr>
        <w:pStyle w:val="ClauseBullet1"/>
        <w:shd w:val="clear" w:color="auto" w:fill="auto"/>
        <w:outlineLvl w:val="9"/>
        <w:rPr>
          <w:color w:val="000000"/>
        </w:rPr>
      </w:pPr>
      <w:r>
        <w:t>Information or an opinion (that is also personal information) about an individual's:</w:t>
      </w:r>
    </w:p>
    <w:p w:rsidR="00EB330E" w:rsidP="001B186B">
      <w:pPr>
        <w:pStyle w:val="ClauseBullet2"/>
        <w:shd w:val="clear" w:color="auto" w:fill="auto"/>
        <w:outlineLvl w:val="9"/>
        <w:rPr>
          <w:color w:val="000000"/>
        </w:rPr>
      </w:pPr>
      <w:r>
        <w:t>racial or ethnic origin;</w:t>
      </w:r>
    </w:p>
    <w:p w:rsidR="00EB330E" w:rsidP="001B186B">
      <w:pPr>
        <w:pStyle w:val="ClauseBullet2"/>
        <w:shd w:val="clear" w:color="auto" w:fill="auto"/>
        <w:outlineLvl w:val="9"/>
        <w:rPr>
          <w:color w:val="000000"/>
        </w:rPr>
      </w:pPr>
      <w:r>
        <w:t>political opinions;</w:t>
      </w:r>
    </w:p>
    <w:p w:rsidR="00EB330E" w:rsidP="001B186B">
      <w:pPr>
        <w:pStyle w:val="ClauseBullet2"/>
        <w:shd w:val="clear" w:color="auto" w:fill="auto"/>
        <w:outlineLvl w:val="9"/>
        <w:rPr>
          <w:color w:val="000000"/>
        </w:rPr>
      </w:pPr>
      <w:r>
        <w:t>membership of a political association;</w:t>
      </w:r>
    </w:p>
    <w:p w:rsidR="00EB330E" w:rsidP="001B186B">
      <w:pPr>
        <w:pStyle w:val="ClauseBullet2"/>
        <w:shd w:val="clear" w:color="auto" w:fill="auto"/>
        <w:outlineLvl w:val="9"/>
        <w:rPr>
          <w:color w:val="000000"/>
        </w:rPr>
      </w:pPr>
      <w:r>
        <w:t>religious beliefs or affiliations;</w:t>
      </w:r>
    </w:p>
    <w:p w:rsidR="00EB330E" w:rsidP="001B186B">
      <w:pPr>
        <w:pStyle w:val="ClauseBullet2"/>
        <w:shd w:val="clear" w:color="auto" w:fill="auto"/>
        <w:outlineLvl w:val="9"/>
        <w:rPr>
          <w:color w:val="000000"/>
        </w:rPr>
      </w:pPr>
      <w:r>
        <w:t>philosophical beliefs;</w:t>
      </w:r>
    </w:p>
    <w:p w:rsidR="00EB330E" w:rsidP="001B186B">
      <w:pPr>
        <w:pStyle w:val="ClauseBullet2"/>
        <w:shd w:val="clear" w:color="auto" w:fill="auto"/>
        <w:outlineLvl w:val="9"/>
        <w:rPr>
          <w:color w:val="000000"/>
        </w:rPr>
      </w:pPr>
      <w:r>
        <w:t>membership of a professional or trade association;</w:t>
      </w:r>
    </w:p>
    <w:p w:rsidR="00EB330E" w:rsidP="001B186B">
      <w:pPr>
        <w:pStyle w:val="ClauseBullet2"/>
        <w:shd w:val="clear" w:color="auto" w:fill="auto"/>
        <w:outlineLvl w:val="9"/>
        <w:rPr>
          <w:color w:val="000000"/>
        </w:rPr>
      </w:pPr>
      <w:r>
        <w:t>membership of a trade union;</w:t>
      </w:r>
    </w:p>
    <w:p w:rsidR="00EB330E" w:rsidP="001B186B">
      <w:pPr>
        <w:pStyle w:val="ClauseBullet2"/>
        <w:shd w:val="clear" w:color="auto" w:fill="auto"/>
        <w:outlineLvl w:val="9"/>
        <w:rPr>
          <w:color w:val="000000"/>
        </w:rPr>
      </w:pPr>
      <w:r>
        <w:t>sexual orientation or practices;</w:t>
      </w:r>
    </w:p>
    <w:p w:rsidR="00EB330E" w:rsidP="001B186B">
      <w:pPr>
        <w:pStyle w:val="ClauseBullet2"/>
        <w:shd w:val="clear" w:color="auto" w:fill="auto"/>
        <w:outlineLvl w:val="9"/>
        <w:rPr>
          <w:color w:val="000000"/>
        </w:rPr>
      </w:pPr>
      <w:r>
        <w:t>criminal record;</w:t>
      </w:r>
    </w:p>
    <w:p w:rsidR="00EB330E" w:rsidP="001B186B">
      <w:pPr>
        <w:pStyle w:val="ClauseBullet2"/>
        <w:shd w:val="clear" w:color="auto" w:fill="auto"/>
        <w:outlineLvl w:val="9"/>
        <w:rPr>
          <w:color w:val="000000"/>
        </w:rPr>
      </w:pPr>
      <w:r>
        <w:t>health information about an individual;</w:t>
      </w:r>
    </w:p>
    <w:p w:rsidR="00EB330E" w:rsidP="001B186B">
      <w:pPr>
        <w:pStyle w:val="ClauseBullet1"/>
        <w:shd w:val="clear" w:color="auto" w:fill="auto"/>
        <w:outlineLvl w:val="9"/>
        <w:rPr>
          <w:color w:val="000000"/>
        </w:rPr>
      </w:pPr>
      <w:r>
        <w:t>Health information about an individual.</w:t>
      </w:r>
    </w:p>
    <w:p w:rsidR="00EB330E" w:rsidP="001B186B">
      <w:pPr>
        <w:pStyle w:val="ClauseBullet1"/>
        <w:shd w:val="clear" w:color="auto" w:fill="auto"/>
        <w:outlineLvl w:val="9"/>
        <w:rPr>
          <w:color w:val="000000"/>
        </w:rPr>
      </w:pPr>
      <w:r>
        <w:t>Genetic information about an individual that is not otherwise health information.</w:t>
      </w:r>
    </w:p>
    <w:p w:rsidR="00EB330E" w:rsidP="001B186B">
      <w:pPr>
        <w:pStyle w:val="ClauseBullet1"/>
        <w:shd w:val="clear" w:color="auto" w:fill="auto"/>
        <w:outlineLvl w:val="9"/>
        <w:rPr>
          <w:color w:val="000000"/>
        </w:rPr>
      </w:pPr>
      <w:r>
        <w:t>Biometric information that is to be used for the purpose of automated biometric verification or biometric identification.</w:t>
      </w:r>
    </w:p>
    <w:p w:rsidR="00EB330E" w:rsidP="001B186B">
      <w:pPr>
        <w:pStyle w:val="ClauseBullet1"/>
        <w:shd w:val="clear" w:color="auto" w:fill="auto"/>
        <w:outlineLvl w:val="9"/>
        <w:rPr>
          <w:color w:val="000000"/>
        </w:rPr>
      </w:pPr>
      <w:r>
        <w:t>Biometric templates.</w:t>
      </w:r>
    </w:p>
    <w:p w:rsidR="00EB330E" w:rsidP="001B186B">
      <w:pPr>
        <w:pStyle w:val="TitleClause"/>
        <w:shd w:val="clear" w:color="auto" w:fill="auto"/>
        <w:outlineLvl w:val="9"/>
        <w:rPr>
          <w:color w:val="000000"/>
        </w:rPr>
      </w:pPr>
      <w:r>
        <w:t>Kinds of personal information we collect and hold</w:t>
      </w:r>
    </w:p>
    <w:p w:rsidR="00EB330E" w:rsidP="001B186B">
      <w:pPr>
        <w:pStyle w:val="Untitledsubclause1"/>
        <w:shd w:val="clear" w:color="auto" w:fill="auto"/>
        <w:outlineLvl w:val="9"/>
        <w:rPr>
          <w:color w:val="000000"/>
        </w:rPr>
      </w:pPr>
      <w:r>
        <w:t>The kinds of personal information we collect and hold about you are:</w:t>
      </w:r>
    </w:p>
    <w:p w:rsidR="00EB330E" w:rsidP="001B186B">
      <w:pPr>
        <w:pStyle w:val="Untitledsubclause2"/>
        <w:shd w:val="clear" w:color="auto" w:fill="auto"/>
        <w:outlineLvl w:val="9"/>
        <w:rPr>
          <w:color w:val="000000"/>
        </w:rPr>
      </w:pPr>
      <w:r>
        <w:t>account and profile details of clinicians, coordinators and other authorised users, including name, email address, role, discipline and authentication metadata; meeting metadata, attendance records, invitations, participant notes and follow-up information; patient identity and contact details entered by authorised users for consent and case administration; de-identified or partially de-identified clinical case content, MDT questions, recommendations, notes, files and audit records; consent responses and communication records; support requests; and technical logs needed to operate, secure and improve the service.</w:t>
      </w:r>
    </w:p>
    <w:p w:rsidR="00EB330E" w:rsidP="001B186B">
      <w:pPr>
        <w:pStyle w:val="Untitledsubclause1"/>
        <w:shd w:val="clear" w:color="auto" w:fill="auto"/>
        <w:outlineLvl w:val="9"/>
        <w:rPr>
          <w:color w:val="000000"/>
        </w:rPr>
      </w:pPr>
      <w:r>
        <w:t>We also collect and hold the following kinds of sensitive information where authorised users enter it into Episap or where it is necessary to operate an MDT workflow:</w:t>
      </w:r>
    </w:p>
    <w:p w:rsidR="00EB330E" w:rsidP="001B186B">
      <w:pPr>
        <w:pStyle w:val="Untitledsubclause2"/>
        <w:shd w:val="clear" w:color="auto" w:fill="auto"/>
        <w:outlineLvl w:val="9"/>
        <w:rPr>
          <w:color w:val="000000"/>
        </w:rPr>
      </w:pPr>
      <w:r>
        <w:t>health information, patient case information, diagnosis and treatment context, MDT recommendations, consent records and information about clinician participation in care-team discussions.</w:t>
      </w:r>
    </w:p>
    <w:p w:rsidR="00EB330E" w:rsidP="001B186B">
      <w:pPr>
        <w:pStyle w:val="Untitledsubclause1"/>
        <w:shd w:val="clear" w:color="auto" w:fill="auto"/>
        <w:outlineLvl w:val="9"/>
        <w:rPr>
          <w:color w:val="000000"/>
        </w:rPr>
      </w:pPr>
      <w:r>
        <w:t>We also collect information about how you access, use and interact with our website, app and other digital channels. This information includes:</w:t>
      </w:r>
    </w:p>
    <w:p w:rsidR="00EB330E" w:rsidP="001B186B">
      <w:pPr>
        <w:pStyle w:val="Untitledsubclause2"/>
        <w:shd w:val="clear" w:color="auto" w:fill="auto"/>
        <w:outlineLvl w:val="9"/>
        <w:rPr>
          <w:color w:val="000000"/>
        </w:rPr>
      </w:pPr>
      <w:r>
        <w:t>device and browser information, IP address, session and authentication events, usage logs, security logs, communication delivery records, page and feature interactions, error diagnostics and cookie or similar technology data where used.</w:t>
      </w:r>
    </w:p>
    <w:p w:rsidR="00EB330E" w:rsidP="001B186B">
      <w:pPr>
        <w:pStyle w:val="TitleClause"/>
        <w:shd w:val="clear" w:color="auto" w:fill="auto"/>
        <w:outlineLvl w:val="9"/>
        <w:rPr>
          <w:color w:val="000000"/>
        </w:rPr>
      </w:pPr>
      <w:r>
        <w:t>Why we collect, hold, use and disclose your personal information</w:t>
      </w:r>
    </w:p>
    <w:p w:rsidR="00EB330E" w:rsidP="001B186B">
      <w:pPr>
        <w:pStyle w:val="Untitledsubclause1"/>
        <w:shd w:val="clear" w:color="auto" w:fill="auto"/>
        <w:outlineLvl w:val="9"/>
        <w:rPr>
          <w:color w:val="000000"/>
        </w:rPr>
      </w:pPr>
      <w:r>
        <w:t>We collect, hold and use your personal information so that we can provide our goods and/or services, administer our organisation and comply with the law. The specific purposes for which we handle your personal information are to:</w:t>
      </w:r>
    </w:p>
    <w:p w:rsidR="00EB330E" w:rsidP="001B186B">
      <w:pPr>
        <w:pStyle w:val="Untitledsubclause2"/>
        <w:numPr>
          <w:ilvl w:val="2"/>
          <w:numId w:val="21"/>
        </w:numPr>
        <w:shd w:val="clear" w:color="auto" w:fill="auto"/>
        <w:outlineLvl w:val="9"/>
        <w:rPr>
          <w:color w:val="000000"/>
        </w:rPr>
      </w:pPr>
      <w:r>
        <w:t>create and administer user accounts; prepare, schedule, run and record MDT meetings; manage patient consent requests and consent status; maintain patient-case records and meeting summaries; send invitations, reminders, consent links and service communications; provide support; secure the service, investigate incidents and maintain audit logs; comply with legal, clinical governance, privacy, security and record-keeping obligations; and improve the reliability and usability of Episap.</w:t>
      </w:r>
    </w:p>
    <w:p w:rsidR="00EB330E" w:rsidP="001B186B">
      <w:pPr>
        <w:pStyle w:val="Untitledsubclause1"/>
        <w:shd w:val="clear" w:color="auto" w:fill="auto"/>
        <w:outlineLvl w:val="9"/>
        <w:rPr>
          <w:color w:val="000000"/>
        </w:rPr>
      </w:pPr>
      <w:r>
        <w:t>We also disclose your personal information to third parties for different purposes as follows:</w:t>
      </w:r>
    </w:p>
    <w:p w:rsidR="00EB330E" w:rsidP="001B186B">
      <w:pPr>
        <w:pStyle w:val="Untitledsubclause2"/>
        <w:shd w:val="clear" w:color="auto" w:fill="auto"/>
        <w:outlineLvl w:val="9"/>
        <w:rPr>
          <w:color w:val="000000"/>
        </w:rPr>
      </w:pPr>
      <w:r>
        <w:t>authorised clinicians, coordinators and workspace members involved in the relevant MDT workflow; service providers who host, secure, send communications for, or otherwise support Episap, including Supabase, LiveKit, Resend and Twilio where configured; professional advisers; regulators, courts, law enforcement or government agencies where required or permitted by law; and other persons where the relevant individual, patient, customer or authorised user has consented or directed us to disclose the information.</w:t>
      </w:r>
    </w:p>
    <w:p w:rsidR="00EB330E" w:rsidP="001B186B">
      <w:pPr>
        <w:pStyle w:val="TitleClause"/>
        <w:shd w:val="clear" w:color="auto" w:fill="auto"/>
        <w:outlineLvl w:val="9"/>
        <w:rPr>
          <w:color w:val="000000"/>
        </w:rPr>
      </w:pPr>
      <w:r>
        <w:t>How we collect your personal information</w:t>
      </w:r>
    </w:p>
    <w:p w:rsidR="00EB330E" w:rsidP="001B186B">
      <w:pPr>
        <w:pStyle w:val="Untitledsubclause1"/>
        <w:shd w:val="clear" w:color="auto" w:fill="auto"/>
        <w:outlineLvl w:val="9"/>
        <w:rPr>
          <w:color w:val="000000"/>
        </w:rPr>
      </w:pPr>
      <w:r>
        <w:t>We generally collect your personal information directly from you whenever you interact with us, including when you create an account, use Episap, join or schedule an MDT meeting, respond to a consent request, contact support or visit our website.</w:t>
      </w:r>
    </w:p>
    <w:p w:rsidR="00EB330E" w:rsidP="001B186B">
      <w:pPr>
        <w:pStyle w:val="Untitledsubclause1"/>
        <w:shd w:val="clear" w:color="auto" w:fill="auto"/>
        <w:outlineLvl w:val="9"/>
        <w:rPr>
          <w:color w:val="000000"/>
        </w:rPr>
      </w:pPr>
      <w:r>
        <w:t>We also collect your personal information as follows:</w:t>
      </w:r>
    </w:p>
    <w:p w:rsidR="00EB330E" w:rsidP="001B186B">
      <w:pPr>
        <w:pStyle w:val="Untitledsubclause2"/>
        <w:shd w:val="clear" w:color="auto" w:fill="auto"/>
        <w:outlineLvl w:val="9"/>
        <w:rPr>
          <w:color w:val="000000"/>
        </w:rPr>
      </w:pPr>
      <w:r>
        <w:t>We may collect personal information indirectly from the organisation that subscribes to or administers Episap, clinicians and coordinators who enter patient or meeting information, invited participants, authentication and communication providers, and technical service providers that generate security, delivery and usage logs.</w:t>
      </w:r>
    </w:p>
    <w:p w:rsidR="00EB330E" w:rsidP="001B186B">
      <w:pPr>
        <w:pStyle w:val="Untitledsubclause1"/>
        <w:shd w:val="clear" w:color="auto" w:fill="auto"/>
        <w:outlineLvl w:val="9"/>
        <w:rPr>
          <w:color w:val="000000"/>
        </w:rPr>
      </w:pPr>
      <w:r>
        <w:t>We collect sensitive information only where it is entered or authorised by a care team member, patient, customer or other person with authority to provide it, or where it is generated as part of the MDT workflow:</w:t>
      </w:r>
    </w:p>
    <w:p w:rsidR="00EB330E" w:rsidP="001B186B">
      <w:pPr>
        <w:pStyle w:val="Untitledsubclause2"/>
        <w:shd w:val="clear" w:color="auto" w:fill="auto"/>
        <w:outlineLvl w:val="9"/>
        <w:rPr>
          <w:color w:val="000000"/>
        </w:rPr>
      </w:pPr>
      <w:r>
        <w:t>through patient profiles, case forms, meeting agendas, meeting notes, uploaded supporting information, consent links, meeting summaries and audit events. Episap is designed to separate patient identity information from clinical case content where practical and to use access controls, encryption and audit logging to reduce privacy risk.</w:t>
      </w:r>
    </w:p>
    <w:p w:rsidR="00EB330E" w:rsidP="001B186B">
      <w:pPr>
        <w:pStyle w:val="TitleClause"/>
        <w:shd w:val="clear" w:color="auto" w:fill="auto"/>
        <w:outlineLvl w:val="9"/>
        <w:rPr>
          <w:color w:val="000000"/>
        </w:rPr>
      </w:pPr>
      <w:r>
        <w:t>How we store and hold personal information</w:t>
      </w:r>
    </w:p>
    <w:p w:rsidR="00EB330E" w:rsidP="001B186B">
      <w:pPr>
        <w:pStyle w:val="Untitledsubclause1"/>
        <w:shd w:val="clear" w:color="auto" w:fill="auto"/>
        <w:outlineLvl w:val="9"/>
        <w:rPr>
          <w:color w:val="000000"/>
        </w:rPr>
      </w:pPr>
      <w:r>
        <w:t>We store most information about you in computer systems and databases operated by either us or our external service providers. Some information about you is recorded in paper files that we store securely.</w:t>
      </w:r>
    </w:p>
    <w:p w:rsidR="00EB330E" w:rsidP="001B186B">
      <w:pPr>
        <w:pStyle w:val="Untitledsubclause1"/>
        <w:shd w:val="clear" w:color="auto" w:fill="auto"/>
        <w:outlineLvl w:val="9"/>
        <w:rPr>
          <w:color w:val="000000"/>
        </w:rPr>
      </w:pPr>
      <w:r>
        <w:t>We implement and maintain processes and security measures to protect personal information, which we hold from misuse, interference or loss, and from unauthorised access, modification or disclosure.</w:t>
      </w:r>
    </w:p>
    <w:p w:rsidR="00EB330E" w:rsidP="001B186B">
      <w:pPr>
        <w:pStyle w:val="Untitledsubclause1"/>
        <w:shd w:val="clear" w:color="auto" w:fill="auto"/>
        <w:outlineLvl w:val="9"/>
        <w:rPr>
          <w:color w:val="000000"/>
        </w:rPr>
      </w:pPr>
      <w:r>
        <w:t>These processes and systems include the following:</w:t>
      </w:r>
    </w:p>
    <w:p w:rsidR="00EB330E" w:rsidP="001B186B">
      <w:pPr>
        <w:pStyle w:val="Untitledsubclause2"/>
        <w:numPr>
          <w:ilvl w:val="2"/>
          <w:numId w:val="26"/>
        </w:numPr>
        <w:shd w:val="clear" w:color="auto" w:fill="auto"/>
        <w:outlineLvl w:val="9"/>
        <w:rPr>
          <w:color w:val="000000"/>
        </w:rPr>
      </w:pPr>
      <w:r>
        <w:t>identity and access management controls, including authenticated sessions, role-based access patterns and restricted administrative access;</w:t>
      </w:r>
    </w:p>
    <w:p w:rsidR="00EB330E" w:rsidRPr="00EC2942" w:rsidP="001B186B">
      <w:pPr>
        <w:pStyle w:val="Untitledsubclause2"/>
        <w:numPr>
          <w:ilvl w:val="2"/>
          <w:numId w:val="26"/>
        </w:numPr>
        <w:shd w:val="clear" w:color="auto" w:fill="auto"/>
        <w:outlineLvl w:val="9"/>
        <w:rPr>
          <w:color w:val="000000"/>
        </w:rPr>
      </w:pPr>
      <w:r>
        <w:t>policies and procedures requiring personnel and contractors to keep information secure and handle patient and clinical information appropriately;</w:t>
      </w:r>
    </w:p>
    <w:p w:rsidR="00EB330E" w:rsidRPr="00EC2942" w:rsidP="001B186B">
      <w:pPr>
        <w:pStyle w:val="Untitledsubclause2"/>
        <w:numPr>
          <w:ilvl w:val="2"/>
          <w:numId w:val="26"/>
        </w:numPr>
        <w:shd w:val="clear" w:color="auto" w:fill="auto"/>
        <w:outlineLvl w:val="9"/>
        <w:rPr>
          <w:color w:val="000000"/>
        </w:rPr>
      </w:pPr>
      <w:r>
        <w:t>security and privacy training for personnel with access to production systems or support workflows;</w:t>
      </w:r>
    </w:p>
    <w:p w:rsidR="00EB330E" w:rsidP="001B186B">
      <w:pPr>
        <w:pStyle w:val="Untitledsubclause2"/>
        <w:numPr>
          <w:ilvl w:val="2"/>
          <w:numId w:val="26"/>
        </w:numPr>
        <w:shd w:val="clear" w:color="auto" w:fill="auto"/>
        <w:outlineLvl w:val="9"/>
        <w:rPr>
          <w:color w:val="000000"/>
        </w:rPr>
      </w:pPr>
      <w:r>
        <w:t>monitoring and review of security practices, audit logs, access patterns and incident response processes;</w:t>
      </w:r>
    </w:p>
    <w:p w:rsidR="00EB330E" w:rsidRPr="00EC2942" w:rsidP="001B186B">
      <w:pPr>
        <w:pStyle w:val="Untitledsubclause2"/>
        <w:numPr>
          <w:ilvl w:val="2"/>
          <w:numId w:val="26"/>
        </w:numPr>
        <w:shd w:val="clear" w:color="auto" w:fill="auto"/>
        <w:outlineLvl w:val="9"/>
        <w:rPr>
          <w:color w:val="000000"/>
        </w:rPr>
      </w:pPr>
      <w:r>
        <w:t>client-side encryption for patient identifying information where implemented, de-identification controls for clinical case content, tamper-evident audit records, secure communications configuration, backups and incident response processes.</w:t>
      </w:r>
    </w:p>
    <w:p w:rsidR="00EB330E" w:rsidP="001B186B">
      <w:pPr>
        <w:pStyle w:val="Untitledsubclause1"/>
        <w:shd w:val="clear" w:color="auto" w:fill="auto"/>
        <w:outlineLvl w:val="9"/>
        <w:rPr>
          <w:color w:val="000000"/>
        </w:rPr>
      </w:pPr>
      <w:r>
        <w:t>We will also take reasonable steps to destroy or de-identify personal information once we no longer require it for the purposes for which it was collected or for any secondary purpose permitted under the APPs.</w:t>
      </w:r>
    </w:p>
    <w:p w:rsidR="00EB330E" w:rsidP="001B186B">
      <w:pPr>
        <w:pStyle w:val="TitleClause"/>
        <w:shd w:val="clear" w:color="auto" w:fill="auto"/>
        <w:outlineLvl w:val="9"/>
        <w:rPr>
          <w:color w:val="000000"/>
        </w:rPr>
      </w:pPr>
      <w:r>
        <w:t>Disclosure of personal information to overseas recipients</w:t>
      </w:r>
    </w:p>
    <w:p w:rsidR="00EB330E" w:rsidP="001B186B">
      <w:pPr>
        <w:pStyle w:val="Untitledsubclause1"/>
        <w:shd w:val="clear" w:color="auto" w:fill="auto"/>
        <w:outlineLvl w:val="9"/>
        <w:rPr>
          <w:color w:val="000000"/>
        </w:rPr>
      </w:pPr>
      <w:r>
        <w:t>We may disclose personal information to recipients located outside Australia where our service providers, communications infrastructure, support personnel or other authorised recipients process information outside Australia.</w:t>
      </w:r>
    </w:p>
    <w:p w:rsidR="00EB330E" w:rsidRPr="00253662" w:rsidP="001B186B">
      <w:pPr>
        <w:pStyle w:val="Untitledsubclause1"/>
        <w:shd w:val="clear" w:color="auto" w:fill="auto"/>
        <w:outlineLvl w:val="9"/>
        <w:rPr>
          <w:color w:val="000000"/>
        </w:rPr>
      </w:pPr>
      <w:r>
        <w:t>Those recipients are likely to be located in Australia, the United States and other countries where our infrastructure, communications, security, support or professional service providers operate. Episap is intended to use Australian-hosted infrastructure for patient and clinical information where practical.</w:t>
      </w:r>
    </w:p>
    <w:p w:rsidR="00EB330E" w:rsidP="001B186B">
      <w:pPr>
        <w:pStyle w:val="TitleClause"/>
        <w:shd w:val="clear" w:color="auto" w:fill="auto"/>
        <w:outlineLvl w:val="9"/>
        <w:rPr>
          <w:color w:val="000000"/>
        </w:rPr>
      </w:pPr>
      <w:r>
        <w:t>Access to and correction of your personal information</w:t>
      </w:r>
    </w:p>
    <w:p w:rsidR="00EB330E" w:rsidP="001B186B">
      <w:pPr>
        <w:pStyle w:val="Untitledsubclause1"/>
        <w:shd w:val="clear" w:color="auto" w:fill="auto"/>
        <w:outlineLvl w:val="9"/>
        <w:rPr>
          <w:color w:val="000000"/>
        </w:rPr>
      </w:pPr>
      <w:r>
        <w:t>You have a right to request access to, or correction of, the personal information that we hold about you by contacting us. Our contact details are set out below at paragraph 10.</w:t>
      </w:r>
    </w:p>
    <w:p w:rsidR="00EB330E" w:rsidP="001B186B">
      <w:pPr>
        <w:pStyle w:val="Untitledsubclause1"/>
        <w:shd w:val="clear" w:color="auto" w:fill="auto"/>
        <w:outlineLvl w:val="9"/>
        <w:rPr>
          <w:color w:val="000000"/>
        </w:rPr>
      </w:pPr>
      <w:r>
        <w:t>There are some circumstances where we may refuse your request to access or correct your personal information. If we refuse your request, we will notify you in writing of the reasons for the refusal. If you disagree with our decision, you may make a privacy complaint using the complaints procedure set out below at paragraph 9.</w:t>
      </w:r>
    </w:p>
    <w:p w:rsidR="00EB330E" w:rsidP="001B186B">
      <w:pPr>
        <w:pStyle w:val="Untitledsubclause1"/>
        <w:shd w:val="clear" w:color="auto" w:fill="auto"/>
        <w:outlineLvl w:val="9"/>
        <w:rPr>
          <w:color w:val="000000"/>
        </w:rPr>
      </w:pPr>
      <w:r>
        <w:t>If we are unable to correct your personal information, you may ask us to include a statement that you believe your personal information is inaccurate, out of date, irrelevant or misleading.</w:t>
      </w:r>
    </w:p>
    <w:p w:rsidR="00EB330E" w:rsidP="001B186B">
      <w:pPr>
        <w:pStyle w:val="Untitledsubclause1"/>
        <w:shd w:val="clear" w:color="auto" w:fill="auto"/>
        <w:outlineLvl w:val="9"/>
        <w:rPr>
          <w:color w:val="000000"/>
        </w:rPr>
      </w:pPr>
      <w:r>
        <w:t>There is no charge for requesting access to, or correction of, your personal information, but we may require you to meet our reasonable costs in providing you with access (such as photocopying costs or costs for time spent on collating large amounts of material).</w:t>
      </w:r>
    </w:p>
    <w:p w:rsidR="00EB330E" w:rsidP="001B186B">
      <w:pPr>
        <w:pStyle w:val="Untitledsubclause1"/>
        <w:shd w:val="clear" w:color="auto" w:fill="auto"/>
        <w:outlineLvl w:val="9"/>
        <w:rPr>
          <w:color w:val="000000"/>
        </w:rPr>
      </w:pPr>
      <w:r>
        <w:t>We will respond to your requests to access or correct personal information within a reasonable period, which is generally within 30 days of receiving your request.</w:t>
      </w:r>
    </w:p>
    <w:p w:rsidR="00EB330E" w:rsidP="001B186B">
      <w:pPr>
        <w:pStyle w:val="TitleClause"/>
        <w:shd w:val="clear" w:color="auto" w:fill="auto"/>
        <w:outlineLvl w:val="9"/>
        <w:rPr>
          <w:color w:val="000000"/>
        </w:rPr>
      </w:pPr>
      <w:r>
        <w:t>Privacy complaints</w:t>
      </w:r>
    </w:p>
    <w:p w:rsidR="00EB330E" w:rsidRPr="0082048A" w:rsidP="001B186B">
      <w:pPr>
        <w:pStyle w:val="Untitledsubclause1"/>
        <w:shd w:val="clear" w:color="auto" w:fill="auto"/>
        <w:outlineLvl w:val="9"/>
        <w:rPr>
          <w:color w:val="000000"/>
        </w:rPr>
      </w:pPr>
      <w:r>
        <w:t>If you have a complaint about the way in which we have handled your personal information, including in relation to your request for access or correction of your personal information, you should contact us first using the details set out below at paragraph 10.</w:t>
      </w:r>
    </w:p>
    <w:p w:rsidR="00EB330E" w:rsidRPr="0082048A" w:rsidP="001B186B">
      <w:pPr>
        <w:pStyle w:val="Untitledsubclause1"/>
        <w:shd w:val="clear" w:color="auto" w:fill="auto"/>
        <w:outlineLvl w:val="9"/>
        <w:rPr>
          <w:color w:val="000000"/>
        </w:rPr>
      </w:pPr>
      <w:r>
        <w:t>We will consider your complaint and determine whether it requires further investigation. We will notify you of the outcome of this investigation.</w:t>
      </w:r>
    </w:p>
    <w:p w:rsidR="00EB330E" w:rsidRPr="0082048A" w:rsidP="001B186B">
      <w:pPr>
        <w:pStyle w:val="Untitledsubclause1"/>
        <w:shd w:val="clear" w:color="auto" w:fill="auto"/>
        <w:outlineLvl w:val="9"/>
        <w:rPr>
          <w:color w:val="000000"/>
        </w:rPr>
      </w:pPr>
      <w:r>
        <w:t>If you remain dissatisfied with the way in which we have handled a privacy issue, you may make a complaint to the Office of the Australian Information Commissioner (OAIC) at www.oaic.gov.au.</w:t>
      </w:r>
    </w:p>
    <w:p w:rsidR="00EB330E" w:rsidP="001B186B">
      <w:pPr>
        <w:pStyle w:val="TitleClause"/>
        <w:shd w:val="clear" w:color="auto" w:fill="auto"/>
        <w:outlineLvl w:val="9"/>
        <w:rPr>
          <w:color w:val="000000"/>
        </w:rPr>
      </w:pPr>
      <w:r>
        <w:t>Contact details</w:t>
      </w:r>
    </w:p>
    <w:p w:rsidR="00EB330E" w:rsidP="001B186B">
      <w:pPr>
        <w:pStyle w:val="Untitledsubclause1"/>
        <w:shd w:val="clear" w:color="auto" w:fill="auto"/>
        <w:outlineLvl w:val="9"/>
        <w:rPr>
          <w:color w:val="000000"/>
        </w:rPr>
      </w:pPr>
      <w:r>
        <w:t>If you have any questions, comments, requests or concerns, please contact us at:</w:t>
      </w:r>
    </w:p>
    <w:p w:rsidR="00EB330E" w:rsidP="001B186B">
      <w:pPr>
        <w:pStyle w:val="ParaClause"/>
        <w:shd w:val="clear" w:color="auto" w:fill="auto"/>
        <w:outlineLvl w:val="9"/>
        <w:rPr>
          <w:color w:val="000000"/>
        </w:rPr>
      </w:pPr>
      <w:r>
        <w:t>Episap Email: support@episapient.com Website: https://episapient.com</w:t>
      </w:r>
    </w:p>
    <w:p w:rsidR="00EB330E" w:rsidP="001B186B">
      <w:pPr>
        <w:pStyle w:val="TitleClause"/>
        <w:shd w:val="clear" w:color="auto" w:fill="auto"/>
        <w:outlineLvl w:val="9"/>
        <w:rPr>
          <w:color w:val="000000"/>
        </w:rPr>
      </w:pPr>
      <w:r>
        <w:t>Changes to this policy</w:t>
      </w:r>
    </w:p>
    <w:p w:rsidR="00EB330E" w:rsidP="001B186B">
      <w:pPr>
        <w:pStyle w:val="Untitledsubclause1"/>
        <w:shd w:val="clear" w:color="auto" w:fill="auto"/>
        <w:outlineLvl w:val="9"/>
        <w:rPr>
          <w:color w:val="000000"/>
        </w:rPr>
      </w:pPr>
      <w:r>
        <w:t>From time to time, we may update this privacy policy to reflect changes to how we handle personal information or the types of personal information that we hold. Any changes to this policy will be published on our website.</w:t>
      </w:r>
    </w:p>
    <w:p w:rsidR="00EB330E" w:rsidP="001B186B">
      <w:pPr>
        <w:pStyle w:val="Untitledsubclause1"/>
        <w:shd w:val="clear" w:color="auto" w:fill="auto"/>
        <w:outlineLvl w:val="9"/>
        <w:rPr>
          <w:color w:val="000000"/>
        </w:rPr>
      </w:pPr>
      <w:r>
        <w:t>You may obtain a copy of the current policy from our website or by contacting us at the contact details above set out in paragraph 10.</w:t>
      </w:r>
    </w:p>
    <w:sectPr w:rsidSect="00EB330E">
      <w:footerReference w:type="default" r:id="rId11"/>
      <w:type w:val="nextPag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7253412"/>
    <w:multiLevelType w:val="hybridMultilevel"/>
    <w:tmpl w:val="960CC850"/>
    <w:lvl w:ilvl="0">
      <w:start w:val="1"/>
      <w:numFmt w:val="bullet"/>
      <w:pStyle w:val="DefinedTermBullet"/>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3485891"/>
    <w:multiLevelType w:val="hybridMultilevel"/>
    <w:tmpl w:val="7C00AF88"/>
    <w:lvl w:ilvl="0">
      <w:start w:val="13"/>
      <w:numFmt w:val="bullet"/>
      <w:lvlText w:val="-"/>
      <w:lvlJc w:val="left"/>
      <w:pPr>
        <w:ind w:left="720" w:hanging="360"/>
      </w:pPr>
      <w:rPr>
        <w:rFonts w:ascii="Calibri" w:hAnsi="Calibri" w:eastAsiaTheme="minorEastAsia" w:cs="Calibri"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4E63F9"/>
    <w:multiLevelType w:val="hybridMultilevel"/>
    <w:tmpl w:val="F9EEB024"/>
    <w:lvl w:ilvl="0">
      <w:start w:val="1"/>
      <w:numFmt w:val="decimal"/>
      <w:lvlText w:val="Schedule %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0E82F3A"/>
    <w:multiLevelType w:val="hybridMultilevel"/>
    <w:tmpl w:val="1DF80854"/>
    <w:lvl w:ilvl="0">
      <w:start w:val="1"/>
      <w:numFmt w:val="decimal"/>
      <w:pStyle w:val="ScheduleHeading-Single"/>
      <w:lvlText w:val="Schedule"/>
      <w:lvlJc w:val="left"/>
      <w:pPr>
        <w:tabs>
          <w:tab w:val="num" w:pos="720"/>
        </w:tabs>
        <w:ind w:left="720" w:hanging="720"/>
      </w:pPr>
      <w:rPr>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3F230AE"/>
    <w:multiLevelType w:val="hybridMultilevel"/>
    <w:tmpl w:val="DC3EE75A"/>
    <w:lvl w:ilvl="0">
      <w:start w:val="1"/>
      <w:numFmt w:val="decimal"/>
      <w:lvlText w:val="Part %1"/>
      <w:lvlJc w:val="left"/>
      <w:pPr>
        <w:ind w:left="720" w:hanging="360"/>
      </w:pPr>
      <w:rPr>
        <w:rFonts w:hint="default"/>
        <w:b/>
        <w:i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5B00E4C"/>
    <w:multiLevelType w:val="hybridMultilevel"/>
    <w:tmpl w:val="97C4AA26"/>
    <w:lvl w:ilvl="0">
      <w:start w:val="1"/>
      <w:numFmt w:val="upperLetter"/>
      <w:pStyle w:val="Annex"/>
      <w:lvlText w:val="ATTACHMENT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9C94F29"/>
    <w:multiLevelType w:val="hybridMultilevel"/>
    <w:tmpl w:val="4CBC2A34"/>
    <w:lvl w:ilvl="0">
      <w:start w:val="1"/>
      <w:numFmt w:val="decimal"/>
      <w:pStyle w:val="QuestionParagraph"/>
      <w:lvlText w:val="%1."/>
      <w:lvlJc w:val="left"/>
      <w:pPr>
        <w:ind w:left="720" w:hanging="360"/>
      </w:pPr>
      <w:rPr>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F3428B6"/>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1">
    <w:nsid w:val="310416CA"/>
    <w:multiLevelType w:val="hybridMultilevel"/>
    <w:tmpl w:val="072EDEC8"/>
    <w:lvl w:ilvl="0">
      <w:start w:val="1"/>
      <w:numFmt w:val="bullet"/>
      <w:pStyle w:val="subclause2Bullet2"/>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22">
    <w:nsid w:val="319A0F33"/>
    <w:multiLevelType w:val="multilevel"/>
    <w:tmpl w:val="AE30DEE4"/>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E9741F"/>
    <w:multiLevelType w:val="hybridMultilevel"/>
    <w:tmpl w:val="0CAC7D4E"/>
    <w:lvl w:ilvl="0">
      <w:start w:val="1"/>
      <w:numFmt w:val="bullet"/>
      <w:pStyle w:val="BulletList2"/>
      <w:lvlText w:val=""/>
      <w:lvlJc w:val="left"/>
      <w:pPr>
        <w:tabs>
          <w:tab w:val="num" w:pos="1077"/>
        </w:tabs>
        <w:ind w:left="1077"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33B2222"/>
    <w:multiLevelType w:val="hybridMultilevel"/>
    <w:tmpl w:val="8AF67026"/>
    <w:lvl w:ilvl="0">
      <w:start w:val="1"/>
      <w:numFmt w:val="lowerLetter"/>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3CC668D"/>
    <w:multiLevelType w:val="hybridMultilevel"/>
    <w:tmpl w:val="594C4DAE"/>
    <w:lvl w:ilvl="0">
      <w:start w:val="1"/>
      <w:numFmt w:val="bullet"/>
      <w:pStyle w:val="Bullet4"/>
      <w:lvlText w:val=""/>
      <w:lvlJc w:val="left"/>
      <w:pPr>
        <w:tabs>
          <w:tab w:val="num" w:pos="2676"/>
        </w:tabs>
        <w:ind w:left="2676"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7">
    <w:nsid w:val="38130038"/>
    <w:multiLevelType w:val="hybridMultilevel"/>
    <w:tmpl w:val="FF8A0FAE"/>
    <w:lvl w:ilvl="0">
      <w:start w:val="1"/>
      <w:numFmt w:val="bullet"/>
      <w:pStyle w:val="Clause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3CE27D01"/>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color w:val="00000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9">
    <w:nsid w:val="3D245052"/>
    <w:multiLevelType w:val="hybridMultilevel"/>
    <w:tmpl w:val="412486D4"/>
    <w:lvl w:ilvl="0">
      <w:start w:val="1"/>
      <w:numFmt w:val="lowerLetter"/>
      <w:lvlText w:val="%1)"/>
      <w:lvlJc w:val="left"/>
      <w:pPr>
        <w:ind w:left="1354" w:hanging="360"/>
      </w:pPr>
      <w:rPr>
        <w:rFonts w:hint="default"/>
        <w:color w:val="000000"/>
      </w:rPr>
    </w:lvl>
    <w:lvl w:ilvl="1" w:tentative="1">
      <w:start w:val="1"/>
      <w:numFmt w:val="lowerLetter"/>
      <w:lvlText w:val="%2."/>
      <w:lvlJc w:val="left"/>
      <w:pPr>
        <w:ind w:left="2074" w:hanging="360"/>
      </w:pPr>
    </w:lvl>
    <w:lvl w:ilvl="2" w:tentative="1">
      <w:start w:val="1"/>
      <w:numFmt w:val="lowerRoman"/>
      <w:lvlText w:val="%3."/>
      <w:lvlJc w:val="right"/>
      <w:pPr>
        <w:ind w:left="2794" w:hanging="180"/>
      </w:pPr>
    </w:lvl>
    <w:lvl w:ilvl="3" w:tentative="1">
      <w:start w:val="1"/>
      <w:numFmt w:val="decimal"/>
      <w:lvlText w:val="%4."/>
      <w:lvlJc w:val="left"/>
      <w:pPr>
        <w:ind w:left="3514" w:hanging="360"/>
      </w:pPr>
    </w:lvl>
    <w:lvl w:ilvl="4" w:tentative="1">
      <w:start w:val="1"/>
      <w:numFmt w:val="lowerLetter"/>
      <w:lvlText w:val="%5."/>
      <w:lvlJc w:val="left"/>
      <w:pPr>
        <w:ind w:left="4234" w:hanging="360"/>
      </w:pPr>
    </w:lvl>
    <w:lvl w:ilvl="5" w:tentative="1">
      <w:start w:val="1"/>
      <w:numFmt w:val="lowerRoman"/>
      <w:lvlText w:val="%6."/>
      <w:lvlJc w:val="right"/>
      <w:pPr>
        <w:ind w:left="4954" w:hanging="180"/>
      </w:pPr>
    </w:lvl>
    <w:lvl w:ilvl="6" w:tentative="1">
      <w:start w:val="1"/>
      <w:numFmt w:val="decimal"/>
      <w:lvlText w:val="%7."/>
      <w:lvlJc w:val="left"/>
      <w:pPr>
        <w:ind w:left="5674" w:hanging="360"/>
      </w:pPr>
    </w:lvl>
    <w:lvl w:ilvl="7" w:tentative="1">
      <w:start w:val="1"/>
      <w:numFmt w:val="lowerLetter"/>
      <w:lvlText w:val="%8."/>
      <w:lvlJc w:val="left"/>
      <w:pPr>
        <w:ind w:left="6394" w:hanging="360"/>
      </w:pPr>
    </w:lvl>
    <w:lvl w:ilvl="8" w:tentative="1">
      <w:start w:val="1"/>
      <w:numFmt w:val="lowerRoman"/>
      <w:lvlText w:val="%9."/>
      <w:lvlJc w:val="right"/>
      <w:pPr>
        <w:ind w:left="7114" w:hanging="180"/>
      </w:pPr>
    </w:lvl>
  </w:abstractNum>
  <w:abstractNum w:abstractNumId="30">
    <w:nsid w:val="41190CAB"/>
    <w:multiLevelType w:val="hybridMultilevel"/>
    <w:tmpl w:val="44828116"/>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4D67987"/>
    <w:multiLevelType w:val="hybridMultilevel"/>
    <w:tmpl w:val="EBD6FB80"/>
    <w:lvl w:ilvl="0">
      <w:start w:val="1"/>
      <w:numFmt w:val="bullet"/>
      <w:pStyle w:val="subclause1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44E96665"/>
    <w:multiLevelType w:val="hybridMultilevel"/>
    <w:tmpl w:val="EF1E142A"/>
    <w:lvl w:ilvl="0">
      <w:start w:val="1"/>
      <w:numFmt w:val="bullet"/>
      <w:pStyle w:val="subclause3Bullet1"/>
      <w:lvlText w:val=""/>
      <w:lvlJc w:val="left"/>
      <w:pPr>
        <w:ind w:left="2988" w:hanging="360"/>
      </w:pPr>
      <w:rPr>
        <w:rFonts w:ascii="Symbol" w:hAnsi="Symbol" w:hint="default"/>
        <w:color w:val="000000"/>
      </w:rPr>
    </w:lvl>
    <w:lvl w:ilvl="1" w:tentative="1">
      <w:start w:val="1"/>
      <w:numFmt w:val="bullet"/>
      <w:lvlText w:val="o"/>
      <w:lvlJc w:val="left"/>
      <w:pPr>
        <w:ind w:left="3708" w:hanging="360"/>
      </w:pPr>
      <w:rPr>
        <w:rFonts w:ascii="Courier New" w:hAnsi="Courier New" w:cs="Courier New" w:hint="default"/>
      </w:rPr>
    </w:lvl>
    <w:lvl w:ilvl="2" w:tentative="1">
      <w:start w:val="1"/>
      <w:numFmt w:val="bullet"/>
      <w:lvlText w:val=""/>
      <w:lvlJc w:val="left"/>
      <w:pPr>
        <w:ind w:left="4428" w:hanging="360"/>
      </w:pPr>
      <w:rPr>
        <w:rFonts w:ascii="Wingdings" w:hAnsi="Wingdings" w:hint="default"/>
      </w:rPr>
    </w:lvl>
    <w:lvl w:ilvl="3" w:tentative="1">
      <w:start w:val="1"/>
      <w:numFmt w:val="bullet"/>
      <w:lvlText w:val=""/>
      <w:lvlJc w:val="left"/>
      <w:pPr>
        <w:ind w:left="5148" w:hanging="360"/>
      </w:pPr>
      <w:rPr>
        <w:rFonts w:ascii="Symbol" w:hAnsi="Symbol" w:hint="default"/>
      </w:rPr>
    </w:lvl>
    <w:lvl w:ilvl="4" w:tentative="1">
      <w:start w:val="1"/>
      <w:numFmt w:val="bullet"/>
      <w:lvlText w:val="o"/>
      <w:lvlJc w:val="left"/>
      <w:pPr>
        <w:ind w:left="5868" w:hanging="360"/>
      </w:pPr>
      <w:rPr>
        <w:rFonts w:ascii="Courier New" w:hAnsi="Courier New" w:cs="Courier New" w:hint="default"/>
      </w:rPr>
    </w:lvl>
    <w:lvl w:ilvl="5" w:tentative="1">
      <w:start w:val="1"/>
      <w:numFmt w:val="bullet"/>
      <w:lvlText w:val=""/>
      <w:lvlJc w:val="left"/>
      <w:pPr>
        <w:ind w:left="6588" w:hanging="360"/>
      </w:pPr>
      <w:rPr>
        <w:rFonts w:ascii="Wingdings" w:hAnsi="Wingdings" w:hint="default"/>
      </w:rPr>
    </w:lvl>
    <w:lvl w:ilvl="6" w:tentative="1">
      <w:start w:val="1"/>
      <w:numFmt w:val="bullet"/>
      <w:lvlText w:val=""/>
      <w:lvlJc w:val="left"/>
      <w:pPr>
        <w:ind w:left="7308" w:hanging="360"/>
      </w:pPr>
      <w:rPr>
        <w:rFonts w:ascii="Symbol" w:hAnsi="Symbol" w:hint="default"/>
      </w:rPr>
    </w:lvl>
    <w:lvl w:ilvl="7" w:tentative="1">
      <w:start w:val="1"/>
      <w:numFmt w:val="bullet"/>
      <w:lvlText w:val="o"/>
      <w:lvlJc w:val="left"/>
      <w:pPr>
        <w:ind w:left="8028" w:hanging="360"/>
      </w:pPr>
      <w:rPr>
        <w:rFonts w:ascii="Courier New" w:hAnsi="Courier New" w:cs="Courier New" w:hint="default"/>
      </w:rPr>
    </w:lvl>
    <w:lvl w:ilvl="8" w:tentative="1">
      <w:start w:val="1"/>
      <w:numFmt w:val="bullet"/>
      <w:lvlText w:val=""/>
      <w:lvlJc w:val="left"/>
      <w:pPr>
        <w:ind w:left="8748" w:hanging="360"/>
      </w:pPr>
      <w:rPr>
        <w:rFonts w:ascii="Wingdings" w:hAnsi="Wingdings" w:hint="default"/>
      </w:rPr>
    </w:lvl>
  </w:abstractNum>
  <w:abstractNum w:abstractNumId="33">
    <w:nsid w:val="46AC04C6"/>
    <w:multiLevelType w:val="hybridMultilevel"/>
    <w:tmpl w:val="E6C47700"/>
    <w:lvl w:ilvl="0">
      <w:start w:val="1"/>
      <w:numFmt w:val="bullet"/>
      <w:pStyle w:val="subclause2Bullet1"/>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34">
    <w:nsid w:val="47F42723"/>
    <w:multiLevelType w:val="hybridMultilevel"/>
    <w:tmpl w:val="C5A02EE6"/>
    <w:lvl w:ilvl="0">
      <w:start w:val="1"/>
      <w:numFmt w:val="bullet"/>
      <w:pStyle w:val="subclause1Bullet1"/>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51D21C80"/>
    <w:multiLevelType w:val="hybridMultilevel"/>
    <w:tmpl w:val="B652F23E"/>
    <w:lvl w:ilvl="0">
      <w:start w:val="1"/>
      <w:numFmt w:val="lowerLetter"/>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55CB0AF0"/>
    <w:multiLevelType w:val="hybridMultilevel"/>
    <w:tmpl w:val="EB98B43A"/>
    <w:lvl w:ilvl="0">
      <w:start w:val="1"/>
      <w:numFmt w:val="decimal"/>
      <w:pStyle w:val="LongQuestionPara"/>
      <w:lvlText w:val="%1."/>
      <w:lvlJc w:val="left"/>
      <w:pPr>
        <w:ind w:left="360" w:hanging="360"/>
      </w:pPr>
      <w:rPr>
        <w:rFonts w:hint="default"/>
        <w:b/>
        <w:i w:val="0"/>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Jc w:val="left"/>
      <w:pPr>
        <w:ind w:left="0" w:firstLine="0"/>
      </w:pPr>
    </w:lvl>
    <w:lvl w:ilvl="2">
      <w:start w:val="1"/>
      <w:numFmt w:val="none"/>
      <w:pStyle w:val="Heading3"/>
      <w:suff w:val="nothing"/>
      <w:lvlJc w:val="left"/>
      <w:pPr>
        <w:ind w:left="0" w:firstLine="0"/>
      </w:pPr>
    </w:lvl>
    <w:lvl w:ilvl="3">
      <w:start w:val="1"/>
      <w:numFmt w:val="none"/>
      <w:pStyle w:val="Heading4"/>
      <w:suff w:val="nothing"/>
      <w:lvlJc w:val="left"/>
      <w:pPr>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none"/>
      <w:pStyle w:val="Heading7"/>
      <w:suff w:val="nothing"/>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38">
    <w:nsid w:val="58C010F4"/>
    <w:multiLevelType w:val="multilevel"/>
    <w:tmpl w:val="DFDE09E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39">
    <w:nsid w:val="5D206610"/>
    <w:multiLevelType w:val="hybridMultilevel"/>
    <w:tmpl w:val="31700046"/>
    <w:lvl w:ilvl="0">
      <w:start w:val="1"/>
      <w:numFmt w:val="lowerLetter"/>
      <w:lvlText w:val="(%1)"/>
      <w:lvlJc w:val="left"/>
      <w:pPr>
        <w:ind w:left="144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1071422"/>
    <w:multiLevelType w:val="hybridMultilevel"/>
    <w:tmpl w:val="59B858D8"/>
    <w:lvl w:ilvl="0">
      <w:start w:val="1"/>
      <w:numFmt w:val="bullet"/>
      <w:pStyle w:val="ClauseBullet1"/>
      <w:lvlText w:val=""/>
      <w:lvlJc w:val="left"/>
      <w:pPr>
        <w:ind w:left="1080" w:hanging="360"/>
      </w:pPr>
      <w:rPr>
        <w:rFonts w:ascii="Symbol" w:hAnsi="Symbol"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42371CD"/>
    <w:multiLevelType w:val="hybridMultilevel"/>
    <w:tmpl w:val="3B76A654"/>
    <w:lvl w:ilvl="0">
      <w:start w:val="1"/>
      <w:numFmt w:val="bullet"/>
      <w:pStyle w:val="subclause3Bullet2"/>
      <w:lvlText w:val=""/>
      <w:lvlJc w:val="left"/>
      <w:pPr>
        <w:ind w:left="3748" w:hanging="360"/>
      </w:pPr>
      <w:rPr>
        <w:rFonts w:ascii="Symbol" w:hAnsi="Symbol" w:hint="default"/>
        <w:color w:val="000000"/>
      </w:rPr>
    </w:lvl>
    <w:lvl w:ilvl="1" w:tentative="1">
      <w:start w:val="1"/>
      <w:numFmt w:val="bullet"/>
      <w:lvlText w:val="o"/>
      <w:lvlJc w:val="left"/>
      <w:pPr>
        <w:ind w:left="4468" w:hanging="360"/>
      </w:pPr>
      <w:rPr>
        <w:rFonts w:ascii="Courier New" w:hAnsi="Courier New" w:cs="Courier New" w:hint="default"/>
      </w:rPr>
    </w:lvl>
    <w:lvl w:ilvl="2" w:tentative="1">
      <w:start w:val="1"/>
      <w:numFmt w:val="bullet"/>
      <w:lvlText w:val=""/>
      <w:lvlJc w:val="left"/>
      <w:pPr>
        <w:ind w:left="5188" w:hanging="360"/>
      </w:pPr>
      <w:rPr>
        <w:rFonts w:ascii="Wingdings" w:hAnsi="Wingdings" w:hint="default"/>
      </w:rPr>
    </w:lvl>
    <w:lvl w:ilvl="3" w:tentative="1">
      <w:start w:val="1"/>
      <w:numFmt w:val="bullet"/>
      <w:lvlText w:val=""/>
      <w:lvlJc w:val="left"/>
      <w:pPr>
        <w:ind w:left="5908" w:hanging="360"/>
      </w:pPr>
      <w:rPr>
        <w:rFonts w:ascii="Symbol" w:hAnsi="Symbol" w:hint="default"/>
      </w:rPr>
    </w:lvl>
    <w:lvl w:ilvl="4" w:tentative="1">
      <w:start w:val="1"/>
      <w:numFmt w:val="bullet"/>
      <w:lvlText w:val="o"/>
      <w:lvlJc w:val="left"/>
      <w:pPr>
        <w:ind w:left="6628" w:hanging="360"/>
      </w:pPr>
      <w:rPr>
        <w:rFonts w:ascii="Courier New" w:hAnsi="Courier New" w:cs="Courier New" w:hint="default"/>
      </w:rPr>
    </w:lvl>
    <w:lvl w:ilvl="5" w:tentative="1">
      <w:start w:val="1"/>
      <w:numFmt w:val="bullet"/>
      <w:lvlText w:val=""/>
      <w:lvlJc w:val="left"/>
      <w:pPr>
        <w:ind w:left="7348" w:hanging="360"/>
      </w:pPr>
      <w:rPr>
        <w:rFonts w:ascii="Wingdings" w:hAnsi="Wingdings" w:hint="default"/>
      </w:rPr>
    </w:lvl>
    <w:lvl w:ilvl="6" w:tentative="1">
      <w:start w:val="1"/>
      <w:numFmt w:val="bullet"/>
      <w:lvlText w:val=""/>
      <w:lvlJc w:val="left"/>
      <w:pPr>
        <w:ind w:left="8068" w:hanging="360"/>
      </w:pPr>
      <w:rPr>
        <w:rFonts w:ascii="Symbol" w:hAnsi="Symbol" w:hint="default"/>
      </w:rPr>
    </w:lvl>
    <w:lvl w:ilvl="7" w:tentative="1">
      <w:start w:val="1"/>
      <w:numFmt w:val="bullet"/>
      <w:lvlText w:val="o"/>
      <w:lvlJc w:val="left"/>
      <w:pPr>
        <w:ind w:left="8788" w:hanging="360"/>
      </w:pPr>
      <w:rPr>
        <w:rFonts w:ascii="Courier New" w:hAnsi="Courier New" w:cs="Courier New" w:hint="default"/>
      </w:rPr>
    </w:lvl>
    <w:lvl w:ilvl="8" w:tentative="1">
      <w:start w:val="1"/>
      <w:numFmt w:val="bullet"/>
      <w:lvlText w:val=""/>
      <w:lvlJc w:val="left"/>
      <w:pPr>
        <w:ind w:left="9508" w:hanging="360"/>
      </w:pPr>
      <w:rPr>
        <w:rFonts w:ascii="Wingdings" w:hAnsi="Wingdings" w:hint="default"/>
      </w:rPr>
    </w:lvl>
  </w:abstractNum>
  <w:abstractNum w:abstractNumId="42">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3">
    <w:nsid w:val="67F8667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4">
    <w:nsid w:val="6A14466B"/>
    <w:multiLevelType w:val="hybridMultilevel"/>
    <w:tmpl w:val="2402A666"/>
    <w:lvl w:ilvl="0">
      <w:start w:val="1"/>
      <w:numFmt w:val="bullet"/>
      <w:pStyle w:val="BulletList1"/>
      <w:lvlText w:val="·"/>
      <w:lvlJc w:val="left"/>
      <w:pPr>
        <w:tabs>
          <w:tab w:val="num" w:pos="360"/>
        </w:tabs>
        <w:ind w:left="360" w:hanging="360"/>
      </w:pPr>
      <w:rPr>
        <w:rFonts w:ascii="Symbol" w:hAnsi="Symbol" w:hint="default"/>
        <w:color w:val="000000"/>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6ADF4683"/>
    <w:multiLevelType w:val="multilevel"/>
    <w:tmpl w:val="85385F9C"/>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77165943"/>
    <w:multiLevelType w:val="hybridMultilevel"/>
    <w:tmpl w:val="2E2E02D8"/>
    <w:lvl w:ilvl="0">
      <w:start w:val="1"/>
      <w:numFmt w:val="bullet"/>
      <w:lvlText w:val=""/>
      <w:lvlJc w:val="left"/>
      <w:pPr>
        <w:ind w:left="720" w:hanging="360"/>
      </w:pPr>
      <w:rPr>
        <w:rFonts w:ascii="Symbol" w:hAnsi="Symbol"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color w:val="00000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9">
    <w:nsid w:val="78C31C79"/>
    <w:multiLevelType w:val="hybridMultilevel"/>
    <w:tmpl w:val="0BBA56BC"/>
    <w:lvl w:ilvl="0">
      <w:start w:val="1"/>
      <w:numFmt w:val="decimal"/>
      <w:lvlText w:val="%1."/>
      <w:lvlJc w:val="left"/>
      <w:pPr>
        <w:ind w:left="1440" w:hanging="360"/>
      </w:pPr>
      <w:rPr>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DB5644F"/>
    <w:multiLevelType w:val="hybridMultilevel"/>
    <w:tmpl w:val="8BCC9C08"/>
    <w:lvl w:ilvl="0">
      <w:start w:val="1"/>
      <w:numFmt w:val="bullet"/>
      <w:pStyle w:val="BulletList3"/>
      <w:lvlText w:val=""/>
      <w:lvlJc w:val="left"/>
      <w:pPr>
        <w:tabs>
          <w:tab w:val="num" w:pos="1945"/>
        </w:tabs>
        <w:ind w:left="1945"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44"/>
  </w:num>
  <w:num w:numId="3">
    <w:abstractNumId w:val="23"/>
  </w:num>
  <w:num w:numId="4">
    <w:abstractNumId w:val="50"/>
  </w:num>
  <w:num w:numId="5">
    <w:abstractNumId w:val="47"/>
  </w:num>
  <w:num w:numId="6">
    <w:abstractNumId w:val="16"/>
  </w:num>
  <w:num w:numId="7">
    <w:abstractNumId w:val="26"/>
  </w:num>
  <w:num w:numId="8">
    <w:abstractNumId w:val="25"/>
  </w:num>
  <w:num w:numId="9">
    <w:abstractNumId w:val="19"/>
  </w:num>
  <w:num w:numId="10">
    <w:abstractNumId w:val="37"/>
  </w:num>
  <w:num w:numId="11">
    <w:abstractNumId w:val="36"/>
  </w:num>
  <w:num w:numId="12">
    <w:abstractNumId w:val="40"/>
  </w:num>
  <w:num w:numId="13">
    <w:abstractNumId w:val="27"/>
  </w:num>
  <w:num w:numId="14">
    <w:abstractNumId w:val="34"/>
  </w:num>
  <w:num w:numId="15">
    <w:abstractNumId w:val="32"/>
  </w:num>
  <w:num w:numId="16">
    <w:abstractNumId w:val="33"/>
  </w:num>
  <w:num w:numId="17">
    <w:abstractNumId w:val="31"/>
  </w:num>
  <w:num w:numId="18">
    <w:abstractNumId w:val="21"/>
  </w:num>
  <w:num w:numId="19">
    <w:abstractNumId w:val="41"/>
  </w:num>
  <w:num w:numId="20">
    <w:abstractNumId w:val="11"/>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0"/>
  </w:num>
  <w:num w:numId="24">
    <w:abstractNumId w:val="4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0"/>
  </w:num>
  <w:num w:numId="28">
    <w:abstractNumId w:val="43"/>
  </w:num>
  <w:num w:numId="29">
    <w:abstractNumId w:val="10"/>
  </w:num>
  <w:num w:numId="30">
    <w:abstractNumId w:val="10"/>
  </w:num>
  <w:num w:numId="31">
    <w:abstractNumId w:val="10"/>
  </w:num>
  <w:num w:numId="32">
    <w:abstractNumId w:val="48"/>
  </w:num>
  <w:num w:numId="33">
    <w:abstractNumId w:val="15"/>
  </w:num>
  <w:num w:numId="34">
    <w:abstractNumId w:val="18"/>
  </w:num>
  <w:num w:numId="35">
    <w:abstractNumId w:val="17"/>
  </w:num>
  <w:num w:numId="36">
    <w:abstractNumId w:val="39"/>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12"/>
  </w:num>
  <w:num w:numId="48">
    <w:abstractNumId w:val="49"/>
  </w:num>
  <w:num w:numId="49">
    <w:abstractNumId w:val="29"/>
  </w:num>
  <w:num w:numId="50">
    <w:abstractNumId w:val="38"/>
  </w:num>
  <w:num w:numId="51">
    <w:abstractNumId w:val="46"/>
  </w:num>
  <w:num w:numId="52">
    <w:abstractNumId w:val="10"/>
  </w:num>
  <w:num w:numId="53">
    <w:abstractNumId w:val="10"/>
  </w:num>
  <w:num w:numId="54">
    <w:abstractNumId w:val="10"/>
  </w:num>
  <w:num w:numId="55">
    <w:abstractNumId w:val="10"/>
  </w:num>
  <w:num w:numId="56">
    <w:abstractNumId w:val="10"/>
  </w:num>
  <w:num w:numId="57">
    <w:abstractNumId w:val="10"/>
  </w:num>
  <w:num w:numId="58">
    <w:abstractNumId w:val="10"/>
  </w:num>
  <w:num w:numId="59">
    <w:abstractNumId w:val="10"/>
  </w:num>
  <w:num w:numId="60">
    <w:abstractNumId w:val="10"/>
  </w:num>
  <w:num w:numId="61">
    <w:abstractNumId w:val="10"/>
  </w:num>
  <w:num w:numId="62">
    <w:abstractNumId w:val="10"/>
  </w:num>
  <w:num w:numId="63">
    <w:abstractNumId w:val="10"/>
  </w:num>
  <w:num w:numId="64">
    <w:abstractNumId w:val="10"/>
  </w:num>
  <w:num w:numId="65">
    <w:abstractNumId w:val="10"/>
  </w:num>
  <w:num w:numId="66">
    <w:abstractNumId w:val="10"/>
  </w:num>
  <w:num w:numId="67">
    <w:abstractNumId w:val="35"/>
  </w:num>
  <w:num w:numId="68">
    <w:abstractNumId w:val="24"/>
  </w:num>
  <w:num w:numId="69">
    <w:abstractNumId w:val="10"/>
  </w:num>
  <w:num w:numId="70">
    <w:abstractNumId w:val="10"/>
  </w:num>
  <w:num w:numId="71">
    <w:abstractNumId w:val="10"/>
  </w:num>
  <w:num w:numId="72">
    <w:abstractNumId w:val="10"/>
  </w:num>
  <w:num w:numId="73">
    <w:abstractNumId w:val="10"/>
  </w:num>
  <w:num w:numId="74">
    <w:abstractNumId w:val="10"/>
  </w:num>
  <w:num w:numId="75">
    <w:abstractNumId w:val="10"/>
  </w:num>
  <w:num w:numId="76">
    <w:abstractNumId w:val="10"/>
  </w:num>
  <w:num w:numId="77">
    <w:abstractNumId w:val="10"/>
  </w:num>
  <w:num w:numId="78">
    <w:abstractNumId w:val="10"/>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2"/>
  </w:num>
  <w:num w:numId="81">
    <w:abstractNumId w:val="14"/>
  </w:num>
  <w:num w:numId="8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PartsVariable" w:val="&lt;docParts&gt;_x000d__x000a_  &lt;Precedent&gt;agreement&lt;/Precedent&gt;_x000d__x000a_  &lt;Operative&gt;paragraph&lt;/Operative&gt;_x000d__x000a_  &lt;TemplateType&gt;null&lt;/TemplateType&gt;_x000d__x000a_  &lt;SignaturePageBreakType&gt;No&lt;/SignaturePageBreakType&gt;_x000d__x000a_&lt;/docParts&gt;"/>
    <w:docVar w:name="gentXMLPartID" w:val="{6C6561E3-B625-4DBC-8FF7-EDEDB8D4F394}"/>
  </w:docVars>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C7D"/>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B52C7D"/>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B52C7D"/>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B52C7D"/>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B52C7D"/>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B52C7D"/>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52C7D"/>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B52C7D"/>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B52C7D"/>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B52C7D"/>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B52C7D"/>
    <w:rPr>
      <w:rFonts w:ascii="Arial" w:eastAsia="Arial" w:hAnsi="Arial" w:cs="Arial"/>
      <w:color w:val="000000"/>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52C7D"/>
  </w:style>
  <w:style w:type="paragraph" w:customStyle="1" w:styleId="Abstract">
    <w:name w:val="Abstract"/>
    <w:link w:val="AbstractChar"/>
    <w:rsid w:val="00B52C7D"/>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B52C7D"/>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B52C7D"/>
    <w:pPr>
      <w:numPr>
        <w:numId w:val="25"/>
      </w:numPr>
      <w:spacing w:before="240" w:after="240"/>
      <w:ind w:left="0" w:firstLine="0"/>
    </w:pPr>
    <w:rPr>
      <w:b/>
      <w:color w:val="000000"/>
    </w:rPr>
  </w:style>
  <w:style w:type="paragraph" w:customStyle="1" w:styleId="AuthoringGroup">
    <w:name w:val="Authoring Group"/>
    <w:link w:val="AuthoringGroupChar"/>
    <w:rsid w:val="00B52C7D"/>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B52C7D"/>
    <w:rPr>
      <w:rFonts w:ascii="Arial" w:eastAsia="Arial Unicode MS" w:hAnsi="Arial" w:cs="Arial"/>
      <w:color w:val="000000"/>
      <w:sz w:val="24"/>
      <w:lang w:val="en-US" w:eastAsia="en-US"/>
    </w:rPr>
  </w:style>
  <w:style w:type="paragraph" w:customStyle="1" w:styleId="Background">
    <w:name w:val="Background"/>
    <w:aliases w:val="(A) Background"/>
    <w:basedOn w:val="Normal"/>
    <w:rsid w:val="00B52C7D"/>
    <w:pPr>
      <w:numPr>
        <w:numId w:val="1"/>
      </w:numPr>
      <w:spacing w:before="120" w:after="120" w:line="300" w:lineRule="atLeast"/>
      <w:jc w:val="both"/>
    </w:pPr>
    <w:rPr>
      <w:rFonts w:ascii="Arial" w:eastAsia="Arial Unicode MS" w:hAnsi="Arial" w:cs="Arial"/>
      <w:color w:val="000000"/>
      <w:szCs w:val="20"/>
      <w:lang w:eastAsia="en-US"/>
    </w:rPr>
  </w:style>
  <w:style w:type="paragraph" w:customStyle="1" w:styleId="BulletList1">
    <w:name w:val="Bullet List 1"/>
    <w:aliases w:val="Bullet1"/>
    <w:basedOn w:val="Normal"/>
    <w:rsid w:val="00B52C7D"/>
    <w:pPr>
      <w:numPr>
        <w:numId w:val="2"/>
      </w:numPr>
      <w:spacing w:after="240" w:line="300" w:lineRule="atLeast"/>
      <w:jc w:val="both"/>
    </w:pPr>
    <w:rPr>
      <w:rFonts w:ascii="Arial" w:eastAsia="Arial Unicode MS" w:hAnsi="Arial" w:cs="Arial"/>
      <w:color w:val="000000"/>
      <w:szCs w:val="20"/>
      <w:lang w:eastAsia="en-US"/>
    </w:rPr>
  </w:style>
  <w:style w:type="paragraph" w:customStyle="1" w:styleId="BulletList2">
    <w:name w:val="Bullet List 2"/>
    <w:aliases w:val="Bullet2"/>
    <w:basedOn w:val="Normal"/>
    <w:rsid w:val="00B52C7D"/>
    <w:pPr>
      <w:numPr>
        <w:numId w:val="3"/>
      </w:numPr>
      <w:spacing w:after="120" w:line="240" w:lineRule="auto"/>
      <w:ind w:left="1080" w:hanging="720"/>
      <w:jc w:val="both"/>
    </w:pPr>
    <w:rPr>
      <w:rFonts w:ascii="Arial" w:eastAsia="Arial Unicode MS" w:hAnsi="Arial" w:cs="Arial"/>
      <w:color w:val="000000"/>
      <w:szCs w:val="20"/>
      <w:lang w:eastAsia="en-US"/>
    </w:rPr>
  </w:style>
  <w:style w:type="paragraph" w:customStyle="1" w:styleId="BulletList3">
    <w:name w:val="Bullet List 3"/>
    <w:aliases w:val="Bullet3"/>
    <w:basedOn w:val="Normal"/>
    <w:rsid w:val="00B52C7D"/>
    <w:pPr>
      <w:numPr>
        <w:numId w:val="4"/>
      </w:numPr>
      <w:spacing w:after="240" w:line="240" w:lineRule="auto"/>
      <w:jc w:val="both"/>
    </w:pPr>
    <w:rPr>
      <w:rFonts w:ascii="Arial" w:eastAsia="Arial Unicode MS" w:hAnsi="Arial" w:cs="Arial"/>
      <w:color w:val="000000"/>
      <w:szCs w:val="20"/>
      <w:lang w:eastAsia="en-US"/>
    </w:rPr>
  </w:style>
  <w:style w:type="paragraph" w:customStyle="1" w:styleId="TitleClause">
    <w:name w:val="Title Clause"/>
    <w:basedOn w:val="Normal"/>
    <w:rsid w:val="00B52C7D"/>
    <w:pPr>
      <w:keepNext/>
      <w:numPr>
        <w:numId w:val="79"/>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ClauseNoTitle">
    <w:name w:val="Clause No Title"/>
    <w:basedOn w:val="TitleClause"/>
    <w:rsid w:val="00B52C7D"/>
    <w:rPr>
      <w:b w:val="0"/>
      <w:smallCaps/>
      <w:color w:val="000000"/>
    </w:rPr>
  </w:style>
  <w:style w:type="paragraph" w:customStyle="1" w:styleId="ClosingPara">
    <w:name w:val="Closing Para"/>
    <w:basedOn w:val="Normal"/>
    <w:rsid w:val="00B52C7D"/>
    <w:pPr>
      <w:spacing w:before="120" w:after="240" w:line="300" w:lineRule="atLeast"/>
      <w:jc w:val="both"/>
    </w:pPr>
    <w:rPr>
      <w:rFonts w:ascii="Arial" w:eastAsia="Arial Unicode MS" w:hAnsi="Arial" w:cs="Arial"/>
      <w:color w:val="000000"/>
      <w:szCs w:val="20"/>
      <w:lang w:eastAsia="en-US"/>
    </w:rPr>
  </w:style>
  <w:style w:type="paragraph" w:customStyle="1" w:styleId="ClosingSignOff">
    <w:name w:val="Closing SignOff"/>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CoversheetTitle">
    <w:name w:val="Coversheet Title"/>
    <w:basedOn w:val="Normal"/>
    <w:autoRedefine/>
    <w:rsid w:val="00B52C7D"/>
    <w:pPr>
      <w:spacing w:before="480" w:after="480" w:line="300" w:lineRule="atLeast"/>
      <w:jc w:val="center"/>
    </w:pPr>
    <w:rPr>
      <w:rFonts w:ascii="Arial" w:eastAsia="Arial Unicode MS" w:hAnsi="Arial" w:cs="Arial"/>
      <w:b/>
      <w:smallCaps/>
      <w:color w:val="000000"/>
      <w:sz w:val="28"/>
      <w:szCs w:val="20"/>
      <w:lang w:eastAsia="en-US"/>
    </w:rPr>
  </w:style>
  <w:style w:type="paragraph" w:customStyle="1" w:styleId="CoverSheetHeading">
    <w:name w:val="Cover Sheet Heading"/>
    <w:aliases w:val="Coversheet Title2"/>
    <w:basedOn w:val="CoversheetTitle"/>
    <w:rsid w:val="00B52C7D"/>
    <w:rPr>
      <w:color w:val="000000"/>
    </w:rPr>
  </w:style>
  <w:style w:type="paragraph" w:customStyle="1" w:styleId="CoverSheetSubjectText">
    <w:name w:val="Cover Sheet Subject Text"/>
    <w:basedOn w:val="Normal"/>
    <w:rsid w:val="00B52C7D"/>
    <w:pPr>
      <w:spacing w:after="0" w:line="300" w:lineRule="atLeast"/>
      <w:jc w:val="center"/>
    </w:pPr>
    <w:rPr>
      <w:rFonts w:ascii="Arial" w:eastAsia="Arial Unicode MS" w:hAnsi="Arial" w:cs="Arial"/>
      <w:color w:val="000000"/>
      <w:szCs w:val="20"/>
      <w:lang w:eastAsia="en-US"/>
    </w:rPr>
  </w:style>
  <w:style w:type="paragraph" w:customStyle="1" w:styleId="CoverSheetSubjectTitle">
    <w:name w:val="Cover Sheet Subject Title"/>
    <w:basedOn w:val="Normal"/>
    <w:rsid w:val="00B52C7D"/>
    <w:pPr>
      <w:spacing w:after="0" w:line="300" w:lineRule="atLeast"/>
      <w:jc w:val="center"/>
    </w:pPr>
    <w:rPr>
      <w:rFonts w:ascii="Arial" w:eastAsia="Arial Unicode MS" w:hAnsi="Arial" w:cs="Arial"/>
      <w:color w:val="000000"/>
      <w:szCs w:val="20"/>
      <w:lang w:eastAsia="en-US"/>
    </w:rPr>
  </w:style>
  <w:style w:type="paragraph" w:customStyle="1" w:styleId="DefinedTermPara">
    <w:name w:val="Defined Term Para"/>
    <w:basedOn w:val="Paragraph"/>
    <w:qFormat/>
    <w:rsid w:val="00B52C7D"/>
    <w:pPr>
      <w:numPr>
        <w:numId w:val="24"/>
      </w:numPr>
    </w:pPr>
    <w:rPr>
      <w:color w:val="000000"/>
    </w:rPr>
  </w:style>
  <w:style w:type="paragraph" w:customStyle="1" w:styleId="DescriptiveHeading">
    <w:name w:val="DescriptiveHeading"/>
    <w:next w:val="Paragraph"/>
    <w:link w:val="DescriptiveHeadingChar"/>
    <w:rsid w:val="00B52C7D"/>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B52C7D"/>
    <w:rPr>
      <w:rFonts w:ascii="Arial" w:eastAsia="Arial Unicode MS" w:hAnsi="Arial" w:cs="Arial"/>
      <w:b/>
      <w:color w:val="000000"/>
      <w:lang w:val="en-US" w:eastAsia="en-US"/>
    </w:rPr>
  </w:style>
  <w:style w:type="paragraph" w:customStyle="1" w:styleId="DraftingnoteSection1Para">
    <w:name w:val="Draftingnote Section1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DraftingnoteSection1Title">
    <w:name w:val="Draftingnote Section1 Title"/>
    <w:basedOn w:val="Normal"/>
    <w:rsid w:val="00B52C7D"/>
    <w:pPr>
      <w:spacing w:after="120" w:line="300" w:lineRule="atLeast"/>
      <w:jc w:val="both"/>
    </w:pPr>
    <w:rPr>
      <w:rFonts w:ascii="Arial" w:eastAsia="Arial Unicode MS" w:hAnsi="Arial" w:cs="Arial"/>
      <w:b/>
      <w:color w:val="000000"/>
      <w:sz w:val="36"/>
      <w:szCs w:val="20"/>
      <w:lang w:eastAsia="en-US"/>
    </w:rPr>
  </w:style>
  <w:style w:type="paragraph" w:customStyle="1" w:styleId="DraftingnoteSection2Para">
    <w:name w:val="Draftingnote Section2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DraftingnoteSection2Title">
    <w:name w:val="Draftingnote Section2 Title"/>
    <w:basedOn w:val="Normal"/>
    <w:rsid w:val="00B52C7D"/>
    <w:pPr>
      <w:spacing w:after="120" w:line="300" w:lineRule="atLeast"/>
      <w:jc w:val="both"/>
    </w:pPr>
    <w:rPr>
      <w:rFonts w:ascii="Arial" w:eastAsia="Arial Unicode MS" w:hAnsi="Arial" w:cs="Arial"/>
      <w:b/>
      <w:color w:val="000000"/>
      <w:sz w:val="28"/>
      <w:szCs w:val="20"/>
      <w:lang w:eastAsia="en-US"/>
    </w:rPr>
  </w:style>
  <w:style w:type="paragraph" w:customStyle="1" w:styleId="DraftingnoteSection3Para">
    <w:name w:val="Draftingnote Section3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DraftingnoteSection3Title">
    <w:name w:val="Draftingnote Section3 Title"/>
    <w:basedOn w:val="Normal"/>
    <w:rsid w:val="00B52C7D"/>
    <w:pPr>
      <w:spacing w:after="120" w:line="300" w:lineRule="atLeast"/>
      <w:jc w:val="both"/>
    </w:pPr>
    <w:rPr>
      <w:rFonts w:ascii="Arial" w:eastAsia="Arial Unicode MS" w:hAnsi="Arial" w:cs="Arial"/>
      <w:b/>
      <w:i/>
      <w:color w:val="000000"/>
      <w:sz w:val="28"/>
      <w:szCs w:val="20"/>
      <w:lang w:eastAsia="en-US"/>
    </w:rPr>
  </w:style>
  <w:style w:type="paragraph" w:customStyle="1" w:styleId="DraftingnoteSection4Para">
    <w:name w:val="Draftingnote Section4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DraftingnoteSection4Title">
    <w:name w:val="Draftingnote Section4 Title"/>
    <w:basedOn w:val="Normal"/>
    <w:rsid w:val="00B52C7D"/>
    <w:pPr>
      <w:spacing w:after="120" w:line="300" w:lineRule="atLeast"/>
      <w:jc w:val="both"/>
    </w:pPr>
    <w:rPr>
      <w:rFonts w:ascii="Arial" w:eastAsia="Arial Unicode MS" w:hAnsi="Arial" w:cs="Arial"/>
      <w:b/>
      <w:i/>
      <w:color w:val="000000"/>
      <w:sz w:val="28"/>
      <w:szCs w:val="20"/>
      <w:lang w:eastAsia="en-US"/>
    </w:rPr>
  </w:style>
  <w:style w:type="paragraph" w:customStyle="1" w:styleId="DraftingnoteTitle">
    <w:name w:val="Draftingnote Title"/>
    <w:basedOn w:val="Normal"/>
    <w:rsid w:val="00B52C7D"/>
    <w:pPr>
      <w:spacing w:after="120" w:line="300" w:lineRule="atLeast"/>
      <w:jc w:val="both"/>
    </w:pPr>
    <w:rPr>
      <w:rFonts w:ascii="Arial" w:eastAsia="Arial Unicode MS" w:hAnsi="Arial" w:cs="Arial"/>
      <w:b/>
      <w:color w:val="000000"/>
      <w:sz w:val="28"/>
      <w:szCs w:val="20"/>
      <w:lang w:eastAsia="en-US"/>
    </w:rPr>
  </w:style>
  <w:style w:type="paragraph" w:customStyle="1" w:styleId="FulltextBridgehead">
    <w:name w:val="Fulltext Bridgehead"/>
    <w:basedOn w:val="Normal"/>
    <w:rsid w:val="00B52C7D"/>
    <w:pPr>
      <w:spacing w:after="120" w:line="300" w:lineRule="atLeast"/>
      <w:jc w:val="both"/>
    </w:pPr>
    <w:rPr>
      <w:rFonts w:ascii="Arial" w:eastAsia="Arial Unicode MS" w:hAnsi="Arial" w:cs="Arial"/>
      <w:b/>
      <w:color w:val="000000"/>
      <w:sz w:val="48"/>
      <w:szCs w:val="20"/>
      <w:lang w:eastAsia="en-US"/>
    </w:rPr>
  </w:style>
  <w:style w:type="paragraph" w:customStyle="1" w:styleId="FulltextSection1Para">
    <w:name w:val="Fulltext Section1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FulltextSection1Title">
    <w:name w:val="Fulltext Section1 Title"/>
    <w:basedOn w:val="Normal"/>
    <w:rsid w:val="00B52C7D"/>
    <w:pPr>
      <w:spacing w:after="120" w:line="300" w:lineRule="atLeast"/>
      <w:jc w:val="both"/>
    </w:pPr>
    <w:rPr>
      <w:rFonts w:ascii="Arial" w:eastAsia="Arial Unicode MS" w:hAnsi="Arial" w:cs="Arial"/>
      <w:b/>
      <w:color w:val="000000"/>
      <w:sz w:val="36"/>
      <w:szCs w:val="20"/>
      <w:lang w:eastAsia="en-US"/>
    </w:rPr>
  </w:style>
  <w:style w:type="paragraph" w:customStyle="1" w:styleId="FulltextSection2Para">
    <w:name w:val="Fulltext Section2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FulltextSection2Title">
    <w:name w:val="Fulltext Section2 Title"/>
    <w:basedOn w:val="Normal"/>
    <w:rsid w:val="00B52C7D"/>
    <w:pPr>
      <w:spacing w:after="120" w:line="300" w:lineRule="atLeast"/>
      <w:jc w:val="both"/>
    </w:pPr>
    <w:rPr>
      <w:rFonts w:ascii="Arial" w:eastAsia="Arial Unicode MS" w:hAnsi="Arial" w:cs="Arial"/>
      <w:b/>
      <w:color w:val="000000"/>
      <w:sz w:val="28"/>
      <w:szCs w:val="20"/>
      <w:lang w:eastAsia="en-US"/>
    </w:rPr>
  </w:style>
  <w:style w:type="paragraph" w:customStyle="1" w:styleId="FulltextSection3Para">
    <w:name w:val="Fulltext Section3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FulltextSection3Title">
    <w:name w:val="Fulltext Section3 Title"/>
    <w:basedOn w:val="Normal"/>
    <w:rsid w:val="00B52C7D"/>
    <w:pPr>
      <w:spacing w:after="120" w:line="300" w:lineRule="atLeast"/>
      <w:jc w:val="both"/>
    </w:pPr>
    <w:rPr>
      <w:rFonts w:ascii="Arial" w:eastAsia="Arial Unicode MS" w:hAnsi="Arial" w:cs="Arial"/>
      <w:b/>
      <w:i/>
      <w:color w:val="000000"/>
      <w:sz w:val="28"/>
      <w:szCs w:val="20"/>
      <w:lang w:eastAsia="en-US"/>
    </w:rPr>
  </w:style>
  <w:style w:type="paragraph" w:customStyle="1" w:styleId="FulltextSection4Para">
    <w:name w:val="Fulltext Section4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FulltextSection4Title">
    <w:name w:val="Fulltext Section4 Title"/>
    <w:basedOn w:val="Normal"/>
    <w:rsid w:val="00B52C7D"/>
    <w:pPr>
      <w:spacing w:after="120" w:line="300" w:lineRule="atLeast"/>
      <w:jc w:val="both"/>
    </w:pPr>
    <w:rPr>
      <w:rFonts w:ascii="Arial" w:eastAsia="Arial Unicode MS" w:hAnsi="Arial" w:cs="Arial"/>
      <w:b/>
      <w:i/>
      <w:color w:val="000000"/>
      <w:sz w:val="28"/>
      <w:szCs w:val="20"/>
      <w:lang w:eastAsia="en-US"/>
    </w:rPr>
  </w:style>
  <w:style w:type="paragraph" w:customStyle="1" w:styleId="GlossItemGlossdefPara">
    <w:name w:val="GlossItem Glossdef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GlossItemGlossterm">
    <w:name w:val="GlossItem Glossterm"/>
    <w:basedOn w:val="Normal"/>
    <w:rsid w:val="00B52C7D"/>
    <w:pPr>
      <w:spacing w:after="120" w:line="300" w:lineRule="atLeast"/>
      <w:jc w:val="both"/>
    </w:pPr>
    <w:rPr>
      <w:rFonts w:ascii="Arial" w:eastAsia="Arial Unicode MS" w:hAnsi="Arial" w:cs="Arial"/>
      <w:b/>
      <w:color w:val="000000"/>
      <w:sz w:val="48"/>
      <w:szCs w:val="20"/>
      <w:lang w:eastAsia="en-US"/>
    </w:rPr>
  </w:style>
  <w:style w:type="paragraph" w:customStyle="1" w:styleId="HeadingAddressLine">
    <w:name w:val="Heading Address Line"/>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HeadingDate">
    <w:name w:val="Heading Date"/>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HeadingLetterheadBasedOnAttribute">
    <w:name w:val="Heading Letterhead Based On Attribute"/>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HeadingSalutation">
    <w:name w:val="Heading Salutation"/>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IgnoredSpacing">
    <w:name w:val="Ignored Spacing"/>
    <w:link w:val="IgnoredSpacingChar"/>
    <w:rsid w:val="00B52C7D"/>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B52C7D"/>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B52C7D"/>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B52C7D"/>
    <w:rPr>
      <w:rFonts w:ascii="Arial" w:eastAsia="Arial Unicode MS" w:hAnsi="Arial" w:cs="Arial"/>
      <w:color w:val="000000"/>
      <w:sz w:val="24"/>
      <w:lang w:val="en-US" w:eastAsia="en-US"/>
    </w:rPr>
  </w:style>
  <w:style w:type="paragraph" w:customStyle="1" w:styleId="MaintenanceEditor">
    <w:name w:val="Maintenance Editor"/>
    <w:link w:val="MaintenanceEditorChar"/>
    <w:rsid w:val="00B52C7D"/>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B52C7D"/>
    <w:rPr>
      <w:rFonts w:ascii="Arial" w:eastAsia="Arial Unicode MS" w:hAnsi="Arial" w:cs="Arial"/>
      <w:color w:val="000000"/>
      <w:sz w:val="24"/>
      <w:lang w:val="en-US" w:eastAsia="en-US"/>
    </w:rPr>
  </w:style>
  <w:style w:type="paragraph" w:customStyle="1" w:styleId="ParaClause">
    <w:name w:val="Para Clause"/>
    <w:basedOn w:val="Normal"/>
    <w:rsid w:val="00B52C7D"/>
    <w:pPr>
      <w:spacing w:before="120" w:after="120" w:line="300" w:lineRule="atLeast"/>
      <w:ind w:left="720"/>
      <w:jc w:val="both"/>
    </w:pPr>
    <w:rPr>
      <w:rFonts w:ascii="Arial" w:eastAsia="Arial Unicode MS" w:hAnsi="Arial" w:cs="Arial"/>
      <w:color w:val="000000"/>
      <w:szCs w:val="20"/>
      <w:lang w:eastAsia="en-US"/>
    </w:rPr>
  </w:style>
  <w:style w:type="paragraph" w:customStyle="1" w:styleId="Parasubclause1">
    <w:name w:val="Para subclause 1"/>
    <w:aliases w:val="BIWS Heading 2"/>
    <w:basedOn w:val="Normal"/>
    <w:rsid w:val="00B52C7D"/>
    <w:pPr>
      <w:spacing w:before="240" w:after="120" w:line="300" w:lineRule="atLeast"/>
      <w:ind w:left="720"/>
      <w:jc w:val="both"/>
    </w:pPr>
    <w:rPr>
      <w:rFonts w:ascii="Arial" w:eastAsia="Arial Unicode MS" w:hAnsi="Arial" w:cs="Arial"/>
      <w:color w:val="000000"/>
      <w:szCs w:val="20"/>
      <w:lang w:eastAsia="en-US"/>
    </w:rPr>
  </w:style>
  <w:style w:type="paragraph" w:customStyle="1" w:styleId="Untitledsubclause1">
    <w:name w:val="Untitled subclause 1"/>
    <w:basedOn w:val="Normal"/>
    <w:rsid w:val="00B52C7D"/>
    <w:pPr>
      <w:numPr>
        <w:ilvl w:val="1"/>
        <w:numId w:val="79"/>
      </w:numPr>
      <w:spacing w:before="280" w:after="120" w:line="300" w:lineRule="atLeast"/>
      <w:jc w:val="both"/>
      <w:outlineLvl w:val="1"/>
    </w:pPr>
    <w:rPr>
      <w:rFonts w:ascii="Arial" w:eastAsia="Arial Unicode MS" w:hAnsi="Arial" w:cs="Arial"/>
      <w:color w:val="000000"/>
      <w:szCs w:val="20"/>
      <w:lang w:eastAsia="en-US"/>
    </w:rPr>
  </w:style>
  <w:style w:type="paragraph" w:customStyle="1" w:styleId="Parasubclause2">
    <w:name w:val="Para subclause 2"/>
    <w:aliases w:val="BIWS Heading 3"/>
    <w:basedOn w:val="Normal"/>
    <w:rsid w:val="00B52C7D"/>
    <w:pPr>
      <w:spacing w:after="240" w:line="300" w:lineRule="atLeast"/>
      <w:ind w:left="1559"/>
      <w:jc w:val="both"/>
    </w:pPr>
    <w:rPr>
      <w:rFonts w:ascii="Arial" w:eastAsia="Arial Unicode MS" w:hAnsi="Arial" w:cs="Arial"/>
      <w:color w:val="000000"/>
      <w:szCs w:val="20"/>
      <w:lang w:eastAsia="en-US"/>
    </w:rPr>
  </w:style>
  <w:style w:type="paragraph" w:customStyle="1" w:styleId="Untitledsubclause2">
    <w:name w:val="Untitled subclause 2"/>
    <w:basedOn w:val="Normal"/>
    <w:rsid w:val="00B52C7D"/>
    <w:pPr>
      <w:numPr>
        <w:ilvl w:val="2"/>
        <w:numId w:val="79"/>
      </w:numPr>
      <w:spacing w:after="120" w:line="300" w:lineRule="atLeast"/>
      <w:jc w:val="both"/>
      <w:outlineLvl w:val="2"/>
    </w:pPr>
    <w:rPr>
      <w:rFonts w:ascii="Arial" w:eastAsia="Arial Unicode MS" w:hAnsi="Arial" w:cs="Arial"/>
      <w:color w:val="000000"/>
      <w:szCs w:val="20"/>
      <w:lang w:eastAsia="en-US"/>
    </w:rPr>
  </w:style>
  <w:style w:type="paragraph" w:customStyle="1" w:styleId="Parasubclause3">
    <w:name w:val="Para subclause 3"/>
    <w:aliases w:val="BIWS Heading 4"/>
    <w:basedOn w:val="Normal"/>
    <w:next w:val="Untitledsubclause2"/>
    <w:rsid w:val="00B52C7D"/>
    <w:pPr>
      <w:spacing w:after="120" w:line="300" w:lineRule="atLeast"/>
      <w:ind w:left="2268"/>
      <w:jc w:val="both"/>
    </w:pPr>
    <w:rPr>
      <w:rFonts w:ascii="Arial" w:eastAsia="Arial Unicode MS" w:hAnsi="Arial" w:cs="Arial"/>
      <w:color w:val="000000"/>
      <w:szCs w:val="20"/>
      <w:lang w:eastAsia="en-US"/>
    </w:rPr>
  </w:style>
  <w:style w:type="paragraph" w:customStyle="1" w:styleId="Untitledsubclause3">
    <w:name w:val="Untitled subclause 3"/>
    <w:basedOn w:val="Normal"/>
    <w:rsid w:val="00B52C7D"/>
    <w:pPr>
      <w:numPr>
        <w:ilvl w:val="3"/>
        <w:numId w:val="79"/>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Parasubclause4">
    <w:name w:val="Para subclause 4"/>
    <w:aliases w:val="BIWS Heading 5"/>
    <w:basedOn w:val="Parasubclause3"/>
    <w:rsid w:val="00B52C7D"/>
    <w:pPr>
      <w:spacing w:after="240"/>
      <w:ind w:left="3028"/>
    </w:pPr>
    <w:rPr>
      <w:color w:val="000000"/>
    </w:rPr>
  </w:style>
  <w:style w:type="paragraph" w:customStyle="1" w:styleId="Untitledsubclause4">
    <w:name w:val="Untitled subclause 4"/>
    <w:basedOn w:val="Normal"/>
    <w:rsid w:val="00B52C7D"/>
    <w:pPr>
      <w:numPr>
        <w:ilvl w:val="4"/>
        <w:numId w:val="79"/>
      </w:numPr>
      <w:spacing w:after="120" w:line="300" w:lineRule="atLeast"/>
      <w:jc w:val="both"/>
      <w:outlineLvl w:val="4"/>
    </w:pPr>
    <w:rPr>
      <w:rFonts w:ascii="Arial" w:eastAsia="Arial Unicode MS" w:hAnsi="Arial" w:cs="Arial"/>
      <w:color w:val="000000"/>
      <w:szCs w:val="20"/>
      <w:lang w:eastAsia="en-US"/>
    </w:rPr>
  </w:style>
  <w:style w:type="paragraph" w:customStyle="1" w:styleId="Para">
    <w:name w:val="Para"/>
    <w:aliases w:val="PLC Style - Normal"/>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Parties">
    <w:name w:val="Parties"/>
    <w:aliases w:val="(1) Parties"/>
    <w:basedOn w:val="Normal"/>
    <w:rsid w:val="00B52C7D"/>
    <w:pPr>
      <w:numPr>
        <w:numId w:val="5"/>
      </w:numPr>
      <w:spacing w:before="120" w:after="120" w:line="300" w:lineRule="atLeast"/>
      <w:jc w:val="both"/>
    </w:pPr>
    <w:rPr>
      <w:rFonts w:ascii="Arial" w:eastAsia="Arial Unicode MS" w:hAnsi="Arial" w:cs="Arial"/>
      <w:color w:val="000000"/>
      <w:szCs w:val="20"/>
      <w:lang w:eastAsia="en-US"/>
    </w:rPr>
  </w:style>
  <w:style w:type="paragraph" w:customStyle="1" w:styleId="ResourceHistoryAuthor">
    <w:name w:val="Resource History Author"/>
    <w:link w:val="ResourceHistoryAuthorChar"/>
    <w:rsid w:val="00B52C7D"/>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B52C7D"/>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B52C7D"/>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B52C7D"/>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B52C7D"/>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B52C7D"/>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B52C7D"/>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B52C7D"/>
    <w:rPr>
      <w:rFonts w:ascii="Arial" w:eastAsia="Arial Unicode MS" w:hAnsi="Arial" w:cs="Arial"/>
      <w:b/>
      <w:bCs/>
      <w:color w:val="000000"/>
      <w:sz w:val="24"/>
      <w:lang w:val="en-US" w:eastAsia="en-US"/>
    </w:rPr>
  </w:style>
  <w:style w:type="paragraph" w:customStyle="1" w:styleId="ResourceType">
    <w:name w:val="Resource Type"/>
    <w:link w:val="ResourceTypeChar"/>
    <w:rsid w:val="00B52C7D"/>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B52C7D"/>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B52C7D"/>
    <w:pPr>
      <w:numPr>
        <w:numId w:val="6"/>
      </w:numPr>
      <w:spacing w:before="240" w:after="360" w:line="300" w:lineRule="atLeast"/>
      <w:jc w:val="both"/>
    </w:pPr>
    <w:rPr>
      <w:rFonts w:ascii="Arial" w:eastAsia="Arial Unicode MS" w:hAnsi="Arial" w:cs="Arial"/>
      <w:b/>
      <w:color w:val="000000"/>
      <w:kern w:val="28"/>
      <w:szCs w:val="20"/>
      <w:lang w:eastAsia="en-US"/>
    </w:rPr>
  </w:style>
  <w:style w:type="paragraph" w:customStyle="1" w:styleId="ScheduleHeading">
    <w:name w:val="Schedule Heading"/>
    <w:aliases w:val="Sch   main head"/>
    <w:basedOn w:val="Normal"/>
    <w:next w:val="Normal"/>
    <w:autoRedefine/>
    <w:rsid w:val="00B52C7D"/>
    <w:pPr>
      <w:keepNext/>
      <w:pageBreakBefore/>
      <w:numPr>
        <w:numId w:val="7"/>
      </w:numPr>
      <w:spacing w:before="240" w:after="360" w:line="300" w:lineRule="atLeast"/>
      <w:jc w:val="center"/>
      <w:outlineLvl w:val="0"/>
    </w:pPr>
    <w:rPr>
      <w:rFonts w:ascii="Arial" w:eastAsia="Arial Unicode MS" w:hAnsi="Arial" w:cs="Arial"/>
      <w:b/>
      <w:color w:val="000000"/>
      <w:kern w:val="28"/>
      <w:szCs w:val="20"/>
      <w:lang w:eastAsia="en-US"/>
    </w:rPr>
  </w:style>
  <w:style w:type="paragraph" w:customStyle="1" w:styleId="SectionHeading">
    <w:name w:val="Section Heading"/>
    <w:aliases w:val="1stIntroHeadings"/>
    <w:basedOn w:val="Normal"/>
    <w:next w:val="Normal"/>
    <w:rsid w:val="00B52C7D"/>
    <w:pPr>
      <w:tabs>
        <w:tab w:val="left" w:pos="709"/>
      </w:tabs>
      <w:spacing w:before="120" w:after="120" w:line="300" w:lineRule="atLeast"/>
      <w:jc w:val="both"/>
    </w:pPr>
    <w:rPr>
      <w:rFonts w:ascii="Arial" w:eastAsia="Arial Unicode MS" w:hAnsi="Arial" w:cs="Arial"/>
      <w:b/>
      <w:smallCaps/>
      <w:color w:val="000000"/>
      <w:sz w:val="24"/>
      <w:szCs w:val="20"/>
      <w:lang w:eastAsia="en-US"/>
    </w:rPr>
  </w:style>
  <w:style w:type="paragraph" w:customStyle="1" w:styleId="Shortquestion">
    <w:name w:val="Shortquestion"/>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SpeedreadPara">
    <w:name w:val="Speedread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SpeedreadSection1Para">
    <w:name w:val="Speedread Section1 Para"/>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SpeedreadSection1Text">
    <w:name w:val="Speedread Section1 Text"/>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SpeedreadText">
    <w:name w:val="Speedread Text"/>
    <w:basedOn w:val="Normal"/>
    <w:rsid w:val="00B52C7D"/>
    <w:pPr>
      <w:spacing w:after="120" w:line="300" w:lineRule="atLeast"/>
      <w:jc w:val="both"/>
    </w:pPr>
    <w:rPr>
      <w:rFonts w:ascii="Arial" w:eastAsia="Arial Unicode MS" w:hAnsi="Arial" w:cs="Arial"/>
      <w:color w:val="000000"/>
      <w:szCs w:val="20"/>
      <w:lang w:eastAsia="en-US"/>
    </w:rPr>
  </w:style>
  <w:style w:type="paragraph" w:customStyle="1" w:styleId="SpeedreadTitle">
    <w:name w:val="Speedread Title"/>
    <w:basedOn w:val="Normal"/>
    <w:rsid w:val="00B52C7D"/>
    <w:pPr>
      <w:spacing w:after="120" w:line="300" w:lineRule="atLeast"/>
      <w:jc w:val="both"/>
    </w:pPr>
    <w:rPr>
      <w:rFonts w:ascii="Arial" w:eastAsia="Arial Unicode MS" w:hAnsi="Arial" w:cs="Arial"/>
      <w:b/>
      <w:color w:val="000000"/>
      <w:sz w:val="36"/>
      <w:szCs w:val="20"/>
      <w:lang w:eastAsia="en-US"/>
    </w:rPr>
  </w:style>
  <w:style w:type="paragraph" w:customStyle="1" w:styleId="TemplateType">
    <w:name w:val="Template Type"/>
    <w:link w:val="TemplateTypeChar"/>
    <w:rsid w:val="00B52C7D"/>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B52C7D"/>
    <w:rPr>
      <w:rFonts w:ascii="Arial" w:eastAsia="Arial Unicode MS" w:hAnsi="Arial" w:cs="Arial"/>
      <w:color w:val="000000"/>
      <w:sz w:val="24"/>
      <w:szCs w:val="24"/>
      <w:lang w:val="en-US" w:eastAsia="en-US"/>
    </w:rPr>
  </w:style>
  <w:style w:type="paragraph" w:styleId="Title">
    <w:name w:val="Title"/>
    <w:link w:val="TitleChar"/>
    <w:rsid w:val="00B52C7D"/>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B52C7D"/>
    <w:rPr>
      <w:rFonts w:ascii="Arial" w:eastAsia="Arial Unicode MS" w:hAnsi="Arial" w:cs="Arial"/>
      <w:color w:val="000000"/>
      <w:sz w:val="24"/>
      <w:lang w:val="en-US" w:eastAsia="en-US"/>
    </w:rPr>
  </w:style>
  <w:style w:type="paragraph" w:styleId="Footer">
    <w:name w:val="footer"/>
    <w:basedOn w:val="Normal"/>
    <w:link w:val="FooterChar"/>
    <w:rsid w:val="00B52C7D"/>
    <w:pPr>
      <w:tabs>
        <w:tab w:val="center" w:pos="4153"/>
        <w:tab w:val="right" w:pos="8306"/>
      </w:tabs>
      <w:spacing w:after="240" w:line="300" w:lineRule="atLeast"/>
      <w:jc w:val="both"/>
    </w:pPr>
    <w:rPr>
      <w:rFonts w:ascii="Times New Roman" w:eastAsia="Times New Roman" w:hAnsi="Times New Roman" w:cs="Times New Roman"/>
      <w:color w:val="000000"/>
      <w:szCs w:val="20"/>
      <w:lang w:eastAsia="en-US"/>
    </w:rPr>
  </w:style>
  <w:style w:type="character" w:customStyle="1" w:styleId="FooterChar">
    <w:name w:val="Footer Char"/>
    <w:basedOn w:val="DefaultParagraphFont"/>
    <w:link w:val="Footer"/>
    <w:rsid w:val="00B52C7D"/>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B52C7D"/>
    <w:rPr>
      <w:i/>
      <w:color w:val="000000"/>
      <w:u w:val="single"/>
    </w:rPr>
  </w:style>
  <w:style w:type="paragraph" w:customStyle="1" w:styleId="Bullet4">
    <w:name w:val="Bullet4"/>
    <w:basedOn w:val="Normal"/>
    <w:rsid w:val="00B52C7D"/>
    <w:pPr>
      <w:numPr>
        <w:numId w:val="8"/>
      </w:numPr>
      <w:spacing w:after="240" w:line="240" w:lineRule="auto"/>
      <w:jc w:val="both"/>
    </w:pPr>
    <w:rPr>
      <w:rFonts w:ascii="Times New Roman" w:eastAsia="Times New Roman" w:hAnsi="Times New Roman" w:cs="Times New Roman"/>
      <w:color w:val="000000"/>
      <w:szCs w:val="20"/>
      <w:lang w:eastAsia="en-US"/>
    </w:rPr>
  </w:style>
  <w:style w:type="paragraph" w:customStyle="1" w:styleId="Paragraph">
    <w:name w:val="Paragraph"/>
    <w:basedOn w:val="Normal"/>
    <w:link w:val="ParagraphChar"/>
    <w:qFormat/>
    <w:rsid w:val="00B52C7D"/>
    <w:pPr>
      <w:spacing w:after="120" w:line="300" w:lineRule="atLeast"/>
      <w:jc w:val="both"/>
    </w:pPr>
    <w:rPr>
      <w:rFonts w:ascii="Arial" w:eastAsia="Arial Unicode MS" w:hAnsi="Arial" w:cs="Arial"/>
      <w:color w:val="000000"/>
      <w:szCs w:val="20"/>
      <w:lang w:eastAsia="en-US"/>
    </w:rPr>
  </w:style>
  <w:style w:type="paragraph" w:customStyle="1" w:styleId="IgnoredTemplateText">
    <w:name w:val="Ignored Template Text"/>
    <w:link w:val="IgnoredTemplateTextChar"/>
    <w:rsid w:val="00B52C7D"/>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B52C7D"/>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B52C7D"/>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B52C7D"/>
    <w:pPr>
      <w:keepNext/>
      <w:spacing w:after="120" w:line="300" w:lineRule="atLeast"/>
      <w:jc w:val="both"/>
      <w:outlineLvl w:val="1"/>
    </w:pPr>
    <w:rPr>
      <w:rFonts w:ascii="Arial" w:eastAsia="Arial Unicode MS" w:hAnsi="Arial" w:cs="Arial"/>
      <w:b/>
      <w:color w:val="000000"/>
      <w:sz w:val="36"/>
      <w:szCs w:val="20"/>
      <w:lang w:eastAsia="en-US"/>
    </w:rPr>
  </w:style>
  <w:style w:type="paragraph" w:customStyle="1" w:styleId="HeadingLevel2">
    <w:name w:val="Heading Level 2"/>
    <w:basedOn w:val="Normal"/>
    <w:next w:val="Paragraph"/>
    <w:rsid w:val="00B52C7D"/>
    <w:pPr>
      <w:keepNext/>
      <w:spacing w:after="120" w:line="300" w:lineRule="atLeast"/>
      <w:jc w:val="both"/>
      <w:outlineLvl w:val="2"/>
    </w:pPr>
    <w:rPr>
      <w:rFonts w:ascii="Arial" w:eastAsia="Arial Unicode MS" w:hAnsi="Arial" w:cs="Arial"/>
      <w:b/>
      <w:color w:val="000000"/>
      <w:sz w:val="28"/>
      <w:szCs w:val="20"/>
      <w:lang w:eastAsia="en-US"/>
    </w:rPr>
  </w:style>
  <w:style w:type="paragraph" w:customStyle="1" w:styleId="HeadingLevel3">
    <w:name w:val="Heading Level 3"/>
    <w:basedOn w:val="Normal"/>
    <w:next w:val="Paragraph"/>
    <w:rsid w:val="00B52C7D"/>
    <w:pPr>
      <w:keepNext/>
      <w:spacing w:after="120" w:line="300" w:lineRule="atLeast"/>
      <w:jc w:val="both"/>
      <w:outlineLvl w:val="3"/>
    </w:pPr>
    <w:rPr>
      <w:rFonts w:ascii="Arial" w:eastAsia="Arial Unicode MS" w:hAnsi="Arial" w:cs="Arial"/>
      <w:b/>
      <w:i/>
      <w:color w:val="000000"/>
      <w:sz w:val="28"/>
      <w:szCs w:val="20"/>
      <w:lang w:eastAsia="en-US"/>
    </w:rPr>
  </w:style>
  <w:style w:type="paragraph" w:styleId="Header">
    <w:name w:val="header"/>
    <w:basedOn w:val="Normal"/>
    <w:link w:val="HeaderChar"/>
    <w:uiPriority w:val="99"/>
    <w:unhideWhenUsed/>
    <w:rsid w:val="00B52C7D"/>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B52C7D"/>
    <w:rPr>
      <w:color w:val="000000"/>
    </w:rPr>
  </w:style>
  <w:style w:type="character" w:styleId="PlaceholderText">
    <w:name w:val="Placeholder Text"/>
    <w:basedOn w:val="DefaultParagraphFont"/>
    <w:uiPriority w:val="99"/>
    <w:rsid w:val="00B52C7D"/>
    <w:rPr>
      <w:color w:val="000000"/>
    </w:rPr>
  </w:style>
  <w:style w:type="paragraph" w:styleId="BalloonText">
    <w:name w:val="Balloon Text"/>
    <w:basedOn w:val="Normal"/>
    <w:link w:val="BalloonTextChar"/>
    <w:uiPriority w:val="99"/>
    <w:semiHidden/>
    <w:unhideWhenUsed/>
    <w:rsid w:val="00B52C7D"/>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B52C7D"/>
    <w:rPr>
      <w:rFonts w:ascii="Tahoma" w:hAnsi="Tahoma" w:cs="Tahoma"/>
      <w:color w:val="000000"/>
      <w:sz w:val="16"/>
      <w:szCs w:val="16"/>
    </w:rPr>
  </w:style>
  <w:style w:type="paragraph" w:customStyle="1" w:styleId="PinPointRef">
    <w:name w:val="PinPoint Ref"/>
    <w:link w:val="PinPointRefChar"/>
    <w:qFormat/>
    <w:rsid w:val="00B52C7D"/>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B52C7D"/>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B52C7D"/>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B52C7D"/>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B52C7D"/>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B52C7D"/>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B52C7D"/>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B52C7D"/>
    <w:rPr>
      <w:rFonts w:ascii="Arial" w:eastAsia="Arial Unicode MS" w:hAnsi="Arial" w:cs="Arial"/>
      <w:color w:val="000000"/>
      <w:szCs w:val="24"/>
      <w:lang w:val="en-US" w:eastAsia="en-US"/>
    </w:rPr>
  </w:style>
  <w:style w:type="paragraph" w:customStyle="1" w:styleId="IntroDefault">
    <w:name w:val="Intro Default"/>
    <w:basedOn w:val="Paragraph"/>
    <w:qFormat/>
    <w:rsid w:val="00B52C7D"/>
    <w:rPr>
      <w:color w:val="000000"/>
    </w:rPr>
  </w:style>
  <w:style w:type="paragraph" w:customStyle="1" w:styleId="IntroCustom">
    <w:name w:val="Intro Custom"/>
    <w:basedOn w:val="Paragraph"/>
    <w:qFormat/>
    <w:rsid w:val="00B52C7D"/>
    <w:rPr>
      <w:color w:val="000000"/>
    </w:rPr>
  </w:style>
  <w:style w:type="paragraph" w:customStyle="1" w:styleId="PrecedentType">
    <w:name w:val="Precedent Type"/>
    <w:basedOn w:val="IgnoredSpacing"/>
    <w:qFormat/>
    <w:rsid w:val="00B52C7D"/>
    <w:rPr>
      <w:color w:val="000000"/>
    </w:rPr>
  </w:style>
  <w:style w:type="paragraph" w:customStyle="1" w:styleId="Operative">
    <w:name w:val="Operative"/>
    <w:basedOn w:val="IgnoredSpacing"/>
    <w:qFormat/>
    <w:rsid w:val="00B52C7D"/>
    <w:rPr>
      <w:vanish/>
      <w:color w:val="000000"/>
    </w:rPr>
  </w:style>
  <w:style w:type="paragraph" w:customStyle="1" w:styleId="SpeedreadBulletList1">
    <w:name w:val="Speedread Bullet List 1"/>
    <w:basedOn w:val="BulletList1"/>
    <w:qFormat/>
    <w:rsid w:val="00B52C7D"/>
    <w:rPr>
      <w:color w:val="000000"/>
    </w:rPr>
  </w:style>
  <w:style w:type="paragraph" w:customStyle="1" w:styleId="PartiesTitle">
    <w:name w:val="Parties Title"/>
    <w:basedOn w:val="Paragraph"/>
    <w:qFormat/>
    <w:rsid w:val="00B52C7D"/>
    <w:rPr>
      <w:b/>
      <w:color w:val="000000"/>
    </w:rPr>
  </w:style>
  <w:style w:type="table" w:styleId="TableGrid">
    <w:name w:val="Table Grid"/>
    <w:basedOn w:val="TableNormal"/>
    <w:rsid w:val="00B52C7D"/>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B52C7D"/>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B52C7D"/>
    <w:pPr>
      <w:shd w:val="clear" w:color="auto" w:fill="D9D9D9" w:themeFill="background1" w:themeFillShade="D9"/>
      <w:spacing w:after="120" w:line="240" w:lineRule="auto"/>
      <w:ind w:left="714" w:hanging="357"/>
    </w:pPr>
    <w:rPr>
      <w:color w:val="000000"/>
    </w:rPr>
  </w:style>
  <w:style w:type="character" w:customStyle="1" w:styleId="QuestionParagraphChar">
    <w:name w:val="Question Paragraph Char"/>
    <w:basedOn w:val="DefaultParagraphFont"/>
    <w:link w:val="QuestionParagraph"/>
    <w:rsid w:val="00B52C7D"/>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B52C7D"/>
    <w:pPr>
      <w:shd w:val="clear" w:color="auto" w:fill="D9D9D9" w:themeFill="background1" w:themeFillShade="D9"/>
      <w:ind w:left="1077"/>
    </w:pPr>
    <w:rPr>
      <w:color w:val="000000"/>
    </w:rPr>
  </w:style>
  <w:style w:type="paragraph" w:customStyle="1" w:styleId="TestimoniumContract">
    <w:name w:val="Testimonium Contract"/>
    <w:basedOn w:val="Paragraph"/>
    <w:qFormat/>
    <w:rsid w:val="00B52C7D"/>
    <w:rPr>
      <w:color w:val="000000"/>
    </w:rPr>
  </w:style>
  <w:style w:type="paragraph" w:customStyle="1" w:styleId="TestimoniumDeed">
    <w:name w:val="Testimonium Deed"/>
    <w:basedOn w:val="Paragraph"/>
    <w:qFormat/>
    <w:rsid w:val="00B52C7D"/>
    <w:rPr>
      <w:color w:val="000000"/>
    </w:rPr>
  </w:style>
  <w:style w:type="paragraph" w:customStyle="1" w:styleId="Titlesubclause2">
    <w:name w:val="Title subclause2"/>
    <w:basedOn w:val="Untitledsubclause2"/>
    <w:qFormat/>
    <w:rsid w:val="00B52C7D"/>
    <w:rPr>
      <w:b/>
      <w:color w:val="000000"/>
    </w:rPr>
  </w:style>
  <w:style w:type="paragraph" w:customStyle="1" w:styleId="Titlesubclause3">
    <w:name w:val="Title subclause3"/>
    <w:basedOn w:val="Untitledsubclause3"/>
    <w:qFormat/>
    <w:rsid w:val="00B52C7D"/>
    <w:rPr>
      <w:b/>
      <w:color w:val="000000"/>
    </w:rPr>
  </w:style>
  <w:style w:type="paragraph" w:customStyle="1" w:styleId="Titlesubclause4">
    <w:name w:val="Title subclause4"/>
    <w:basedOn w:val="Untitledsubclause4"/>
    <w:qFormat/>
    <w:rsid w:val="00B52C7D"/>
    <w:rPr>
      <w:b/>
      <w:color w:val="000000"/>
    </w:rPr>
  </w:style>
  <w:style w:type="paragraph" w:customStyle="1" w:styleId="UntitledClause">
    <w:name w:val="Untitled Clause"/>
    <w:basedOn w:val="TitleClause"/>
    <w:qFormat/>
    <w:rsid w:val="00B52C7D"/>
    <w:pPr>
      <w:spacing w:before="120"/>
    </w:pPr>
    <w:rPr>
      <w:b w:val="0"/>
      <w:color w:val="000000"/>
    </w:rPr>
  </w:style>
  <w:style w:type="paragraph" w:customStyle="1" w:styleId="Titlesubclause1">
    <w:name w:val="Title subclause1"/>
    <w:basedOn w:val="Untitledsubclause1"/>
    <w:qFormat/>
    <w:rsid w:val="00B52C7D"/>
    <w:pPr>
      <w:spacing w:before="120"/>
    </w:pPr>
    <w:rPr>
      <w:b/>
      <w:color w:val="000000"/>
    </w:rPr>
  </w:style>
  <w:style w:type="paragraph" w:customStyle="1" w:styleId="Schedule">
    <w:name w:val="Schedule"/>
    <w:qFormat/>
    <w:rsid w:val="00B52C7D"/>
    <w:pPr>
      <w:numPr>
        <w:numId w:val="22"/>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B52C7D"/>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B52C7D"/>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B52C7D"/>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B52C7D"/>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B52C7D"/>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52C7D"/>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B52C7D"/>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B52C7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52C7D"/>
    <w:rPr>
      <w:rFonts w:asciiTheme="majorHAnsi" w:eastAsiaTheme="majorEastAsia" w:hAnsiTheme="majorHAnsi" w:cstheme="majorBidi"/>
      <w:i/>
      <w:iCs/>
      <w:color w:val="000000"/>
      <w:sz w:val="20"/>
      <w:szCs w:val="20"/>
    </w:rPr>
  </w:style>
  <w:style w:type="paragraph" w:customStyle="1" w:styleId="ScheduleTitle">
    <w:name w:val="Schedule Title"/>
    <w:basedOn w:val="Paragraph"/>
    <w:qFormat/>
    <w:rsid w:val="00B52C7D"/>
    <w:rPr>
      <w:b/>
      <w:color w:val="000000"/>
    </w:rPr>
  </w:style>
  <w:style w:type="paragraph" w:customStyle="1" w:styleId="Part">
    <w:name w:val="Part"/>
    <w:basedOn w:val="Paragraph"/>
    <w:qFormat/>
    <w:rsid w:val="00B52C7D"/>
    <w:pPr>
      <w:numPr>
        <w:ilvl w:val="1"/>
        <w:numId w:val="22"/>
      </w:numPr>
      <w:spacing w:before="240" w:after="240"/>
      <w:jc w:val="left"/>
    </w:pPr>
    <w:rPr>
      <w:b/>
      <w:color w:val="000000"/>
    </w:rPr>
  </w:style>
  <w:style w:type="paragraph" w:customStyle="1" w:styleId="AnnexTitle">
    <w:name w:val="Annex Title"/>
    <w:basedOn w:val="Paragraph"/>
    <w:next w:val="Paragraph"/>
    <w:qFormat/>
    <w:rsid w:val="00B52C7D"/>
    <w:pPr>
      <w:spacing w:before="240" w:after="240"/>
    </w:pPr>
    <w:rPr>
      <w:b/>
      <w:color w:val="000000"/>
    </w:rPr>
  </w:style>
  <w:style w:type="paragraph" w:customStyle="1" w:styleId="PartTitle">
    <w:name w:val="Part Title"/>
    <w:basedOn w:val="Paragraph"/>
    <w:qFormat/>
    <w:rsid w:val="00B52C7D"/>
    <w:rPr>
      <w:b/>
      <w:color w:val="000000"/>
    </w:rPr>
  </w:style>
  <w:style w:type="paragraph" w:customStyle="1" w:styleId="Testimonium">
    <w:name w:val="Testimonium"/>
    <w:basedOn w:val="Paragraph"/>
    <w:qFormat/>
    <w:rsid w:val="00B52C7D"/>
    <w:rPr>
      <w:color w:val="000000"/>
    </w:rPr>
  </w:style>
  <w:style w:type="character" w:customStyle="1" w:styleId="apple-converted-space">
    <w:name w:val="apple-converted-space"/>
    <w:basedOn w:val="DefaultParagraphFont"/>
    <w:rsid w:val="00B52C7D"/>
    <w:rPr>
      <w:color w:val="000000"/>
    </w:rPr>
  </w:style>
  <w:style w:type="character" w:styleId="Emphasis">
    <w:name w:val="Emphasis"/>
    <w:basedOn w:val="DefaultParagraphFont"/>
    <w:uiPriority w:val="20"/>
    <w:qFormat/>
    <w:rsid w:val="00B52C7D"/>
    <w:rPr>
      <w:i/>
      <w:iCs/>
      <w:color w:val="000000"/>
    </w:rPr>
  </w:style>
  <w:style w:type="paragraph" w:customStyle="1" w:styleId="NoNumTitle-Clause">
    <w:name w:val="No Num Title - Clause"/>
    <w:basedOn w:val="TitleClause"/>
    <w:qFormat/>
    <w:rsid w:val="00B52C7D"/>
    <w:pPr>
      <w:numPr>
        <w:numId w:val="0"/>
      </w:numPr>
      <w:ind w:left="720"/>
    </w:pPr>
    <w:rPr>
      <w:color w:val="000000"/>
    </w:rPr>
  </w:style>
  <w:style w:type="paragraph" w:customStyle="1" w:styleId="NoNumTitlesubclause1">
    <w:name w:val="No Num Title subclause1"/>
    <w:basedOn w:val="Titlesubclause1"/>
    <w:qFormat/>
    <w:rsid w:val="00B52C7D"/>
    <w:pPr>
      <w:numPr>
        <w:ilvl w:val="0"/>
        <w:numId w:val="0"/>
      </w:numPr>
      <w:ind w:left="720"/>
    </w:pPr>
    <w:rPr>
      <w:color w:val="000000"/>
    </w:rPr>
  </w:style>
  <w:style w:type="paragraph" w:customStyle="1" w:styleId="AddressLine">
    <w:name w:val="Address Line"/>
    <w:basedOn w:val="Paragraph"/>
    <w:qFormat/>
    <w:rsid w:val="00B52C7D"/>
    <w:rPr>
      <w:color w:val="000000"/>
    </w:rPr>
  </w:style>
  <w:style w:type="paragraph" w:styleId="Date">
    <w:name w:val="Date"/>
    <w:basedOn w:val="Paragraph"/>
    <w:qFormat/>
    <w:rsid w:val="00B52C7D"/>
    <w:rPr>
      <w:color w:val="000000"/>
    </w:rPr>
  </w:style>
  <w:style w:type="paragraph" w:customStyle="1" w:styleId="SalutationPara">
    <w:name w:val="Salutation Para"/>
    <w:basedOn w:val="Paragraph"/>
    <w:next w:val="Paragraph"/>
    <w:qFormat/>
    <w:rsid w:val="00B52C7D"/>
    <w:pPr>
      <w:spacing w:before="240"/>
    </w:pPr>
    <w:rPr>
      <w:color w:val="000000"/>
    </w:rPr>
  </w:style>
  <w:style w:type="character" w:styleId="FollowedHyperlink">
    <w:name w:val="FollowedHyperlink"/>
    <w:basedOn w:val="DefaultParagraphFont"/>
    <w:uiPriority w:val="99"/>
    <w:semiHidden/>
    <w:unhideWhenUsed/>
    <w:rsid w:val="00B52C7D"/>
    <w:rPr>
      <w:i/>
      <w:color w:val="000000"/>
      <w:u w:val="single"/>
    </w:rPr>
  </w:style>
  <w:style w:type="character" w:customStyle="1" w:styleId="DefTerm">
    <w:name w:val="DefTerm"/>
    <w:basedOn w:val="DefaultParagraphFont"/>
    <w:uiPriority w:val="1"/>
    <w:qFormat/>
    <w:rsid w:val="00B52C7D"/>
    <w:rPr>
      <w:b/>
      <w:color w:val="000000"/>
    </w:rPr>
  </w:style>
  <w:style w:type="table" w:customStyle="1" w:styleId="ShadedTable">
    <w:name w:val="Shaded Table"/>
    <w:basedOn w:val="TableNormal"/>
    <w:uiPriority w:val="99"/>
    <w:rsid w:val="00B52C7D"/>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B52C7D"/>
    <w:rPr>
      <w:i/>
      <w:color w:val="000000"/>
    </w:rPr>
  </w:style>
  <w:style w:type="paragraph" w:customStyle="1" w:styleId="LetterTitle">
    <w:name w:val="Letter Title"/>
    <w:basedOn w:val="Paragraph"/>
    <w:qFormat/>
    <w:rsid w:val="00B52C7D"/>
    <w:rPr>
      <w:b/>
      <w:color w:val="000000"/>
    </w:rPr>
  </w:style>
  <w:style w:type="paragraph" w:customStyle="1" w:styleId="LongQuestionPara">
    <w:name w:val="Long Question Para"/>
    <w:basedOn w:val="Paragraph"/>
    <w:link w:val="LongQuestionParaChar"/>
    <w:rsid w:val="00B52C7D"/>
    <w:pPr>
      <w:numPr>
        <w:numId w:val="11"/>
      </w:numPr>
      <w:spacing w:before="240" w:after="240" w:line="240" w:lineRule="auto"/>
      <w:outlineLvl w:val="1"/>
    </w:pPr>
    <w:rPr>
      <w:color w:val="000000"/>
      <w:sz w:val="20"/>
      <w:lang w:val="en-US"/>
    </w:rPr>
  </w:style>
  <w:style w:type="character" w:customStyle="1" w:styleId="LongQuestionParaChar">
    <w:name w:val="Long Question Para Char"/>
    <w:basedOn w:val="DefaultParagraphFont"/>
    <w:link w:val="LongQuestionPara"/>
    <w:rsid w:val="00B52C7D"/>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B52C7D"/>
    <w:pPr>
      <w:shd w:val="clear" w:color="auto" w:fill="D9D9D9" w:themeFill="background1" w:themeFillShade="D9"/>
      <w:tabs>
        <w:tab w:val="left" w:pos="270"/>
      </w:tabs>
      <w:spacing w:after="40" w:line="240" w:lineRule="auto"/>
      <w:outlineLvl w:val="1"/>
    </w:pPr>
    <w:rPr>
      <w:bCs/>
      <w:color w:val="000000"/>
      <w:sz w:val="20"/>
      <w:lang w:val="en-US"/>
    </w:rPr>
  </w:style>
  <w:style w:type="character" w:customStyle="1" w:styleId="ShortQuestionParaChar">
    <w:name w:val="Short Question Para Char"/>
    <w:basedOn w:val="DefaultParagraphFont"/>
    <w:link w:val="ShortQuestionPara"/>
    <w:rsid w:val="00B52C7D"/>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B52C7D"/>
    <w:rPr>
      <w:rFonts w:ascii="Arial" w:eastAsia="Arial Unicode MS" w:hAnsi="Arial" w:cs="Arial"/>
      <w:color w:val="000000"/>
      <w:szCs w:val="20"/>
      <w:lang w:eastAsia="en-US"/>
    </w:rPr>
  </w:style>
  <w:style w:type="paragraph" w:customStyle="1" w:styleId="811D3A974D454A258B71E3C4DE24C4F210">
    <w:name w:val="811D3A974D454A258B71E3C4DE24C4F210"/>
    <w:rsid w:val="00A9243F"/>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B52C7D"/>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B52C7D"/>
    <w:pPr>
      <w:jc w:val="center"/>
    </w:pPr>
    <w:rPr>
      <w:color w:val="000000"/>
      <w:sz w:val="28"/>
    </w:rPr>
  </w:style>
  <w:style w:type="paragraph" w:customStyle="1" w:styleId="Title-Clause">
    <w:name w:val="Title - Clause"/>
    <w:aliases w:val="BIWS Heading 1"/>
    <w:basedOn w:val="Normal"/>
    <w:rsid w:val="00B52C7D"/>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lang w:eastAsia="en-US"/>
    </w:rPr>
  </w:style>
  <w:style w:type="paragraph" w:customStyle="1" w:styleId="Para-Clause-nonum">
    <w:name w:val="Para - Clause - no num"/>
    <w:aliases w:val="Body  clause"/>
    <w:basedOn w:val="Normal"/>
    <w:next w:val="Title-Clause"/>
    <w:rsid w:val="00B52C7D"/>
    <w:pPr>
      <w:spacing w:before="120" w:after="120" w:line="300" w:lineRule="atLeast"/>
      <w:ind w:left="720"/>
      <w:jc w:val="both"/>
    </w:pPr>
    <w:rPr>
      <w:rFonts w:ascii="Arial" w:eastAsia="Arial Unicode MS" w:hAnsi="Arial" w:cs="Arial"/>
      <w:color w:val="000000"/>
      <w:szCs w:val="20"/>
      <w:lang w:eastAsia="en-US"/>
    </w:rPr>
  </w:style>
  <w:style w:type="paragraph" w:customStyle="1" w:styleId="Para-Clause">
    <w:name w:val="Para - Clause"/>
    <w:basedOn w:val="Title-Clause"/>
    <w:qFormat/>
    <w:rsid w:val="00B52C7D"/>
    <w:pPr>
      <w:spacing w:before="120"/>
    </w:pPr>
    <w:rPr>
      <w:b w:val="0"/>
      <w:color w:val="000000"/>
    </w:rPr>
  </w:style>
  <w:style w:type="paragraph" w:customStyle="1" w:styleId="CoversheetParagraph">
    <w:name w:val="Coversheet Paragraph"/>
    <w:basedOn w:val="Normal"/>
    <w:autoRedefine/>
    <w:rsid w:val="00B52C7D"/>
    <w:pPr>
      <w:spacing w:after="0" w:line="300" w:lineRule="atLeast"/>
      <w:jc w:val="center"/>
    </w:pPr>
    <w:rPr>
      <w:rFonts w:ascii="Times New Roman" w:eastAsia="Times New Roman" w:hAnsi="Times New Roman" w:cs="Times New Roman"/>
      <w:color w:val="000000"/>
      <w:szCs w:val="20"/>
      <w:lang w:eastAsia="en-US"/>
    </w:rPr>
  </w:style>
  <w:style w:type="paragraph" w:customStyle="1" w:styleId="CoversheetIntro">
    <w:name w:val="Coversheet Intro"/>
    <w:basedOn w:val="CoversheetTitle"/>
    <w:qFormat/>
    <w:rsid w:val="00B52C7D"/>
    <w:rPr>
      <w:smallCaps w:val="0"/>
      <w:color w:val="000000"/>
      <w:sz w:val="22"/>
    </w:rPr>
  </w:style>
  <w:style w:type="paragraph" w:customStyle="1" w:styleId="CoversheetStaticText">
    <w:name w:val="Coversheet Static Text"/>
    <w:basedOn w:val="CoversheetIntro"/>
    <w:qFormat/>
    <w:rsid w:val="00B52C7D"/>
    <w:rPr>
      <w:b w:val="0"/>
      <w:color w:val="000000"/>
    </w:rPr>
  </w:style>
  <w:style w:type="paragraph" w:customStyle="1" w:styleId="CoversheetParty">
    <w:name w:val="Coversheet Party"/>
    <w:basedOn w:val="CoversheetIntro"/>
    <w:qFormat/>
    <w:rsid w:val="00B52C7D"/>
    <w:rPr>
      <w:color w:val="000000"/>
    </w:rPr>
  </w:style>
  <w:style w:type="paragraph" w:customStyle="1" w:styleId="NoNumUntitledClause">
    <w:name w:val="No Num Untitled Clause"/>
    <w:basedOn w:val="UntitledClause"/>
    <w:qFormat/>
    <w:rsid w:val="00B52C7D"/>
    <w:pPr>
      <w:numPr>
        <w:numId w:val="0"/>
      </w:numPr>
      <w:ind w:left="720"/>
    </w:pPr>
    <w:rPr>
      <w:color w:val="000000"/>
    </w:rPr>
  </w:style>
  <w:style w:type="paragraph" w:customStyle="1" w:styleId="BackgroundSubclause1">
    <w:name w:val="Background Subclause1"/>
    <w:basedOn w:val="Background"/>
    <w:qFormat/>
    <w:rsid w:val="00B52C7D"/>
    <w:pPr>
      <w:numPr>
        <w:ilvl w:val="1"/>
      </w:numPr>
    </w:pPr>
    <w:rPr>
      <w:color w:val="000000"/>
    </w:rPr>
  </w:style>
  <w:style w:type="paragraph" w:customStyle="1" w:styleId="BackgroundSubclause2">
    <w:name w:val="Background Subclause2"/>
    <w:basedOn w:val="Background"/>
    <w:qFormat/>
    <w:rsid w:val="00B52C7D"/>
    <w:pPr>
      <w:numPr>
        <w:ilvl w:val="3"/>
      </w:numPr>
    </w:pPr>
    <w:rPr>
      <w:color w:val="000000"/>
    </w:rPr>
  </w:style>
  <w:style w:type="paragraph" w:customStyle="1" w:styleId="HeadingLevel2CQA">
    <w:name w:val="Heading Level 2 CQA"/>
    <w:basedOn w:val="HeadingLevel2"/>
    <w:qFormat/>
    <w:rsid w:val="00B52C7D"/>
    <w:rPr>
      <w:color w:val="000000"/>
    </w:rPr>
  </w:style>
  <w:style w:type="paragraph" w:customStyle="1" w:styleId="ClauseBullet1">
    <w:name w:val="Clause Bullet 1"/>
    <w:basedOn w:val="ParaClause"/>
    <w:qFormat/>
    <w:rsid w:val="00B52C7D"/>
    <w:pPr>
      <w:numPr>
        <w:numId w:val="12"/>
      </w:numPr>
      <w:ind w:left="1077" w:hanging="357"/>
      <w:outlineLvl w:val="0"/>
    </w:pPr>
    <w:rPr>
      <w:color w:val="000000"/>
    </w:rPr>
  </w:style>
  <w:style w:type="paragraph" w:customStyle="1" w:styleId="ClauseBullet2">
    <w:name w:val="Clause Bullet 2"/>
    <w:basedOn w:val="ParaClause"/>
    <w:qFormat/>
    <w:rsid w:val="00B52C7D"/>
    <w:pPr>
      <w:numPr>
        <w:numId w:val="13"/>
      </w:numPr>
      <w:ind w:left="1434" w:hanging="357"/>
      <w:outlineLvl w:val="1"/>
    </w:pPr>
    <w:rPr>
      <w:color w:val="000000"/>
    </w:rPr>
  </w:style>
  <w:style w:type="paragraph" w:customStyle="1" w:styleId="subclause1Bullet1">
    <w:name w:val="subclause 1 Bullet 1"/>
    <w:basedOn w:val="Parasubclause1"/>
    <w:qFormat/>
    <w:rsid w:val="00B52C7D"/>
    <w:pPr>
      <w:numPr>
        <w:numId w:val="14"/>
      </w:numPr>
      <w:ind w:left="1077" w:hanging="357"/>
    </w:pPr>
    <w:rPr>
      <w:color w:val="000000"/>
    </w:rPr>
  </w:style>
  <w:style w:type="paragraph" w:customStyle="1" w:styleId="subclause2Bullet1">
    <w:name w:val="subclause 2 Bullet 1"/>
    <w:basedOn w:val="Parasubclause2"/>
    <w:qFormat/>
    <w:rsid w:val="00B52C7D"/>
    <w:pPr>
      <w:numPr>
        <w:numId w:val="16"/>
      </w:numPr>
      <w:ind w:left="1434" w:hanging="357"/>
    </w:pPr>
    <w:rPr>
      <w:color w:val="000000"/>
    </w:rPr>
  </w:style>
  <w:style w:type="paragraph" w:customStyle="1" w:styleId="subclause3Bullet1">
    <w:name w:val="subclause 3 Bullet 1"/>
    <w:basedOn w:val="Parasubclause3"/>
    <w:qFormat/>
    <w:rsid w:val="00B52C7D"/>
    <w:pPr>
      <w:numPr>
        <w:numId w:val="15"/>
      </w:numPr>
      <w:ind w:left="2273" w:hanging="357"/>
    </w:pPr>
    <w:rPr>
      <w:color w:val="000000"/>
    </w:rPr>
  </w:style>
  <w:style w:type="paragraph" w:customStyle="1" w:styleId="subclause1Bullet2">
    <w:name w:val="subclause 1 Bullet 2"/>
    <w:basedOn w:val="Parasubclause1"/>
    <w:qFormat/>
    <w:rsid w:val="00B52C7D"/>
    <w:pPr>
      <w:numPr>
        <w:numId w:val="17"/>
      </w:numPr>
      <w:ind w:left="1434" w:hanging="357"/>
    </w:pPr>
    <w:rPr>
      <w:color w:val="000000"/>
    </w:rPr>
  </w:style>
  <w:style w:type="paragraph" w:customStyle="1" w:styleId="subclause2Bullet2">
    <w:name w:val="subclause 2 Bullet 2"/>
    <w:basedOn w:val="Parasubclause2"/>
    <w:qFormat/>
    <w:rsid w:val="00B52C7D"/>
    <w:pPr>
      <w:numPr>
        <w:numId w:val="18"/>
      </w:numPr>
      <w:ind w:left="2273" w:hanging="357"/>
    </w:pPr>
    <w:rPr>
      <w:color w:val="000000"/>
    </w:rPr>
  </w:style>
  <w:style w:type="paragraph" w:customStyle="1" w:styleId="subclause3Bullet2">
    <w:name w:val="subclause 3 Bullet 2"/>
    <w:basedOn w:val="Parasubclause3"/>
    <w:qFormat/>
    <w:rsid w:val="00B52C7D"/>
    <w:pPr>
      <w:numPr>
        <w:numId w:val="19"/>
      </w:numPr>
      <w:ind w:left="2982" w:hanging="357"/>
    </w:pPr>
    <w:rPr>
      <w:color w:val="000000"/>
    </w:rPr>
  </w:style>
  <w:style w:type="paragraph" w:customStyle="1" w:styleId="DefinedTermBullet">
    <w:name w:val="Defined Term Bullet"/>
    <w:basedOn w:val="DefinedTermPara"/>
    <w:qFormat/>
    <w:rsid w:val="00B52C7D"/>
    <w:pPr>
      <w:numPr>
        <w:numId w:val="20"/>
      </w:numPr>
    </w:pPr>
    <w:rPr>
      <w:color w:val="000000"/>
    </w:rPr>
  </w:style>
  <w:style w:type="paragraph" w:customStyle="1" w:styleId="DefinedTermNumber">
    <w:name w:val="Defined Term Number"/>
    <w:basedOn w:val="DefinedTermPara"/>
    <w:qFormat/>
    <w:rsid w:val="00B52C7D"/>
    <w:pPr>
      <w:numPr>
        <w:ilvl w:val="1"/>
      </w:numPr>
    </w:pPr>
    <w:rPr>
      <w:color w:val="000000"/>
    </w:rPr>
  </w:style>
  <w:style w:type="paragraph" w:customStyle="1" w:styleId="AdditionalTitle">
    <w:name w:val="Additional Title"/>
    <w:basedOn w:val="Paragraph"/>
    <w:qFormat/>
    <w:rsid w:val="00B52C7D"/>
    <w:pPr>
      <w:jc w:val="left"/>
    </w:pPr>
    <w:rPr>
      <w:b/>
      <w:color w:val="000000"/>
      <w:sz w:val="24"/>
    </w:rPr>
  </w:style>
  <w:style w:type="character" w:customStyle="1" w:styleId="error">
    <w:name w:val="error"/>
    <w:basedOn w:val="DefaultParagraphFont"/>
    <w:rsid w:val="00B52C7D"/>
    <w:rPr>
      <w:color w:val="000000"/>
    </w:rPr>
  </w:style>
  <w:style w:type="paragraph" w:customStyle="1" w:styleId="NoNumUntitledsubclause1">
    <w:name w:val="No Num Untitled subclause 1"/>
    <w:basedOn w:val="Untitledsubclause1"/>
    <w:qFormat/>
    <w:rsid w:val="00B52C7D"/>
    <w:pPr>
      <w:numPr>
        <w:ilvl w:val="0"/>
        <w:numId w:val="0"/>
      </w:numPr>
      <w:ind w:left="720"/>
    </w:pPr>
    <w:rPr>
      <w:color w:val="000000"/>
    </w:rPr>
  </w:style>
  <w:style w:type="paragraph" w:customStyle="1" w:styleId="BackgroundParaClause">
    <w:name w:val="Background Para Clause"/>
    <w:basedOn w:val="Background"/>
    <w:qFormat/>
    <w:rsid w:val="00B52C7D"/>
    <w:pPr>
      <w:numPr>
        <w:numId w:val="0"/>
      </w:numPr>
    </w:pPr>
    <w:rPr>
      <w:color w:val="000000"/>
    </w:rPr>
  </w:style>
  <w:style w:type="paragraph" w:customStyle="1" w:styleId="BackgroundParaSubclause1">
    <w:name w:val="Background Para Subclause1"/>
    <w:basedOn w:val="BackgroundSubclause1"/>
    <w:qFormat/>
    <w:rsid w:val="00B52C7D"/>
    <w:pPr>
      <w:numPr>
        <w:ilvl w:val="0"/>
        <w:numId w:val="0"/>
      </w:numPr>
      <w:ind w:left="994"/>
    </w:pPr>
    <w:rPr>
      <w:color w:val="000000"/>
      <w:lang w:val="en-US"/>
    </w:rPr>
  </w:style>
  <w:style w:type="paragraph" w:customStyle="1" w:styleId="BackgroundParaSubclause2">
    <w:name w:val="Background Para Subclause2"/>
    <w:basedOn w:val="BackgroundSubclause2"/>
    <w:qFormat/>
    <w:rsid w:val="00B52C7D"/>
    <w:pPr>
      <w:numPr>
        <w:ilvl w:val="0"/>
        <w:numId w:val="0"/>
      </w:numPr>
      <w:ind w:left="1701"/>
    </w:pPr>
    <w:rPr>
      <w:color w:val="000000"/>
      <w:lang w:val="en-US"/>
    </w:rPr>
  </w:style>
  <w:style w:type="paragraph" w:customStyle="1" w:styleId="ClauseBulletPara">
    <w:name w:val="Clause Bullet Para"/>
    <w:basedOn w:val="ClauseBullet1"/>
    <w:qFormat/>
    <w:rsid w:val="00B52C7D"/>
    <w:pPr>
      <w:numPr>
        <w:numId w:val="0"/>
      </w:numPr>
      <w:ind w:left="1080"/>
    </w:pPr>
    <w:rPr>
      <w:color w:val="000000"/>
      <w:lang w:val="en-US"/>
    </w:rPr>
  </w:style>
  <w:style w:type="paragraph" w:customStyle="1" w:styleId="ClauseBullet2Para">
    <w:name w:val="Clause Bullet 2 Para"/>
    <w:basedOn w:val="ClauseBullet2"/>
    <w:qFormat/>
    <w:rsid w:val="00B52C7D"/>
    <w:pPr>
      <w:numPr>
        <w:numId w:val="0"/>
      </w:numPr>
      <w:ind w:left="1440"/>
    </w:pPr>
    <w:rPr>
      <w:color w:val="000000"/>
      <w:lang w:val="en-US"/>
    </w:rPr>
  </w:style>
  <w:style w:type="paragraph" w:customStyle="1" w:styleId="ACTJurisdictionCheckList">
    <w:name w:val="ACTJurisdictionCheckList"/>
    <w:basedOn w:val="Normal"/>
    <w:rsid w:val="00B52C7D"/>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B52C7D"/>
    <w:rPr>
      <w:color w:val="000000"/>
    </w:rPr>
  </w:style>
  <w:style w:type="character" w:styleId="CommentReference">
    <w:name w:val="annotation reference"/>
    <w:basedOn w:val="DefaultParagraphFont"/>
    <w:uiPriority w:val="99"/>
    <w:semiHidden/>
    <w:unhideWhenUsed/>
    <w:rsid w:val="00E9484F"/>
    <w:rPr>
      <w:color w:val="000000"/>
      <w:sz w:val="16"/>
      <w:szCs w:val="16"/>
    </w:rPr>
  </w:style>
  <w:style w:type="paragraph" w:styleId="CommentText">
    <w:name w:val="annotation text"/>
    <w:basedOn w:val="Normal"/>
    <w:link w:val="CommentTextChar"/>
    <w:uiPriority w:val="99"/>
    <w:unhideWhenUsed/>
    <w:rsid w:val="00E9484F"/>
    <w:rPr>
      <w:color w:val="000000"/>
      <w:sz w:val="20"/>
      <w:szCs w:val="20"/>
    </w:rPr>
  </w:style>
  <w:style w:type="character" w:customStyle="1" w:styleId="CommentTextChar">
    <w:name w:val="Comment Text Char"/>
    <w:basedOn w:val="DefaultParagraphFont"/>
    <w:link w:val="CommentText"/>
    <w:uiPriority w:val="99"/>
    <w:rsid w:val="00E9484F"/>
    <w:rPr>
      <w:color w:val="000000"/>
      <w:sz w:val="20"/>
      <w:szCs w:val="20"/>
    </w:rPr>
  </w:style>
  <w:style w:type="paragraph" w:styleId="CommentSubject">
    <w:name w:val="annotation subject"/>
    <w:basedOn w:val="CommentText"/>
    <w:next w:val="CommentText"/>
    <w:link w:val="CommentSubjectChar"/>
    <w:uiPriority w:val="99"/>
    <w:semiHidden/>
    <w:unhideWhenUsed/>
    <w:rsid w:val="00E9484F"/>
    <w:rPr>
      <w:b/>
      <w:bCs/>
      <w:color w:val="000000"/>
    </w:rPr>
  </w:style>
  <w:style w:type="character" w:customStyle="1" w:styleId="CommentSubjectChar">
    <w:name w:val="Comment Subject Char"/>
    <w:basedOn w:val="CommentTextChar"/>
    <w:link w:val="CommentSubject"/>
    <w:uiPriority w:val="99"/>
    <w:semiHidden/>
    <w:rsid w:val="00E9484F"/>
    <w:rPr>
      <w:b/>
      <w:bCs/>
      <w:color w:val="000000"/>
      <w:sz w:val="20"/>
      <w:szCs w:val="20"/>
    </w:rPr>
  </w:style>
  <w:style w:type="paragraph" w:customStyle="1" w:styleId="835FF0B0D5344FE4A8EE41F54AA7E17C16">
    <w:name w:val="835FF0B0D5344FE4A8EE41F54AA7E17C16"/>
    <w:rsid w:val="00177165"/>
    <w:pPr>
      <w:spacing w:after="120" w:line="240" w:lineRule="auto"/>
    </w:pPr>
    <w:rPr>
      <w:rFonts w:ascii="Arial" w:eastAsia="Times New Roman" w:hAnsi="Arial" w:cs="Times New Roman"/>
      <w:color w:val="000000"/>
      <w:sz w:val="24"/>
      <w:szCs w:val="24"/>
      <w:lang w:val="en-US" w:eastAsia="en-US"/>
    </w:rPr>
  </w:style>
  <w:style w:type="paragraph" w:customStyle="1" w:styleId="ScheduleTitleClause">
    <w:name w:val="Schedule Title Clause"/>
    <w:basedOn w:val="Normal"/>
    <w:rsid w:val="00B52C7D"/>
    <w:pPr>
      <w:keepNext/>
      <w:numPr>
        <w:ilvl w:val="2"/>
        <w:numId w:val="22"/>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ScheduleUntitledsubclause1">
    <w:name w:val="Schedule Untitled subclause 1"/>
    <w:basedOn w:val="Normal"/>
    <w:rsid w:val="00B52C7D"/>
    <w:pPr>
      <w:numPr>
        <w:ilvl w:val="3"/>
        <w:numId w:val="22"/>
      </w:numPr>
      <w:spacing w:before="280" w:after="120" w:line="300" w:lineRule="atLeast"/>
      <w:jc w:val="both"/>
      <w:outlineLvl w:val="1"/>
    </w:pPr>
    <w:rPr>
      <w:rFonts w:ascii="Arial" w:eastAsia="Arial Unicode MS" w:hAnsi="Arial" w:cs="Arial"/>
      <w:color w:val="000000"/>
      <w:szCs w:val="20"/>
      <w:lang w:eastAsia="en-US"/>
    </w:rPr>
  </w:style>
  <w:style w:type="paragraph" w:customStyle="1" w:styleId="ScheduleUntitledsubclause2">
    <w:name w:val="Schedule Untitled subclause 2"/>
    <w:basedOn w:val="Normal"/>
    <w:rsid w:val="00B52C7D"/>
    <w:pPr>
      <w:numPr>
        <w:ilvl w:val="4"/>
        <w:numId w:val="22"/>
      </w:numPr>
      <w:spacing w:after="120" w:line="300" w:lineRule="atLeast"/>
      <w:jc w:val="both"/>
      <w:outlineLvl w:val="2"/>
    </w:pPr>
    <w:rPr>
      <w:rFonts w:ascii="Arial" w:eastAsia="Arial Unicode MS" w:hAnsi="Arial" w:cs="Arial"/>
      <w:color w:val="000000"/>
      <w:szCs w:val="20"/>
      <w:lang w:eastAsia="en-US"/>
    </w:rPr>
  </w:style>
  <w:style w:type="paragraph" w:customStyle="1" w:styleId="ScheduleUntitledsubclause3">
    <w:name w:val="Schedule Untitled subclause 3"/>
    <w:basedOn w:val="Normal"/>
    <w:rsid w:val="00B52C7D"/>
    <w:pPr>
      <w:numPr>
        <w:ilvl w:val="5"/>
        <w:numId w:val="22"/>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ScheduleUntitledsubclause4">
    <w:name w:val="Schedule Untitled subclause 4"/>
    <w:basedOn w:val="Normal"/>
    <w:rsid w:val="00B52C7D"/>
    <w:pPr>
      <w:spacing w:after="120" w:line="300" w:lineRule="atLeast"/>
      <w:jc w:val="both"/>
      <w:outlineLvl w:val="4"/>
    </w:pPr>
    <w:rPr>
      <w:rFonts w:ascii="Arial" w:eastAsia="Arial Unicode MS" w:hAnsi="Arial" w:cs="Arial"/>
      <w:color w:val="000000"/>
      <w:szCs w:val="20"/>
      <w:lang w:eastAsia="en-US"/>
    </w:rPr>
  </w:style>
  <w:style w:type="paragraph" w:customStyle="1" w:styleId="BulletListPattern1">
    <w:name w:val="Bullet List Pattern 1"/>
    <w:basedOn w:val="BulletList1"/>
    <w:qFormat/>
    <w:rsid w:val="00B52C7D"/>
    <w:pPr>
      <w:shd w:val="clear" w:color="auto" w:fill="D9D9D9" w:themeFill="background1" w:themeFillShade="D9"/>
      <w:spacing w:after="120" w:line="240" w:lineRule="auto"/>
      <w:ind w:left="714" w:hanging="357"/>
    </w:pPr>
    <w:rPr>
      <w:color w:val="000000"/>
    </w:rPr>
  </w:style>
  <w:style w:type="paragraph" w:customStyle="1" w:styleId="BulletListPattern2">
    <w:name w:val="Bullet List Pattern 2"/>
    <w:basedOn w:val="BulletList2"/>
    <w:qFormat/>
    <w:rsid w:val="00B52C7D"/>
    <w:pPr>
      <w:shd w:val="clear" w:color="auto" w:fill="D9D9D9" w:themeFill="background1" w:themeFillShade="D9"/>
      <w:ind w:left="1077"/>
    </w:pPr>
    <w:rPr>
      <w:color w:val="000000"/>
    </w:rPr>
  </w:style>
  <w:style w:type="paragraph" w:customStyle="1" w:styleId="ScheduleUntitledClause">
    <w:name w:val="Schedule Untitled Clause"/>
    <w:basedOn w:val="ScheduleTitleClause"/>
    <w:qFormat/>
    <w:rsid w:val="00B52C7D"/>
    <w:pPr>
      <w:spacing w:before="120"/>
    </w:pPr>
    <w:rPr>
      <w:b w:val="0"/>
      <w:color w:val="000000"/>
    </w:rPr>
  </w:style>
  <w:style w:type="paragraph" w:customStyle="1" w:styleId="EmptyClausePara">
    <w:name w:val="Empty Clause Para"/>
    <w:basedOn w:val="IgnoredSpacing"/>
    <w:qFormat/>
    <w:rsid w:val="00B52C7D"/>
    <w:rPr>
      <w:color w:val="000000"/>
    </w:rPr>
  </w:style>
  <w:style w:type="paragraph" w:styleId="ListParagraph">
    <w:name w:val="List Paragraph"/>
    <w:basedOn w:val="Normal"/>
    <w:uiPriority w:val="34"/>
    <w:qFormat/>
    <w:rsid w:val="00B52C7D"/>
    <w:pPr>
      <w:ind w:left="720"/>
      <w:contextualSpacing/>
    </w:pPr>
    <w:rPr>
      <w:color w:val="000000"/>
    </w:rPr>
  </w:style>
  <w:style w:type="paragraph" w:customStyle="1" w:styleId="ScheduleTitlesubclause1">
    <w:name w:val="Schedule Title subclause1"/>
    <w:basedOn w:val="ScheduleUntitledsubclause1"/>
    <w:qFormat/>
    <w:rsid w:val="00B52C7D"/>
    <w:pPr>
      <w:spacing w:before="120"/>
    </w:pPr>
    <w:rPr>
      <w:b/>
      <w:color w:val="000000"/>
    </w:rPr>
  </w:style>
  <w:style w:type="table" w:customStyle="1" w:styleId="TableGrid1">
    <w:name w:val="Table Grid1"/>
    <w:basedOn w:val="TableNormal"/>
    <w:rsid w:val="00B52C7D"/>
    <w:pPr>
      <w:spacing w:after="0" w:line="240" w:lineRule="auto"/>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noredEmptysubclause">
    <w:name w:val="Ignored Empty subclause"/>
    <w:basedOn w:val="Normal"/>
    <w:qFormat/>
    <w:rsid w:val="00B52C7D"/>
    <w:rPr>
      <w:color w:val="000000"/>
    </w:rPr>
  </w:style>
  <w:style w:type="character" w:customStyle="1" w:styleId="UnresolvedMention">
    <w:name w:val="Unresolved Mention"/>
    <w:basedOn w:val="DefaultParagraphFont"/>
    <w:uiPriority w:val="99"/>
    <w:semiHidden/>
    <w:unhideWhenUsed/>
    <w:rsid w:val="009F7791"/>
    <w:rPr>
      <w:color w:val="000000"/>
      <w:shd w:val="clear" w:color="auto" w:fill="E1DFDD"/>
    </w:rPr>
  </w:style>
  <w:style w:type="character" w:customStyle="1" w:styleId="codocumentid">
    <w:name w:val="co_documentid"/>
    <w:basedOn w:val="DefaultParagraphFont"/>
    <w:rsid w:val="009533D6"/>
    <w:rPr>
      <w:color w:val="000000"/>
    </w:rPr>
  </w:style>
  <w:style w:type="paragraph" w:customStyle="1" w:styleId="StaticFlowchartImage">
    <w:name w:val="Static Flowchart Image"/>
    <w:basedOn w:val="Normal"/>
    <w:link w:val="StaticFlowchartImageChar"/>
    <w:qFormat/>
    <w:rsid w:val="00630705"/>
    <w:rPr>
      <w:color w:val="000000"/>
    </w:rPr>
  </w:style>
  <w:style w:type="character" w:customStyle="1" w:styleId="StaticFlowchartImageChar">
    <w:name w:val="Static Flowchart Image Char"/>
    <w:basedOn w:val="DefaultParagraphFont"/>
    <w:link w:val="StaticFlowchartImage"/>
    <w:rsid w:val="00630705"/>
    <w:rPr>
      <w:color w:val="000000"/>
    </w:rPr>
  </w:style>
  <w:style w:type="paragraph" w:customStyle="1" w:styleId="F06B60376D5942FEB7B69578697A76D8">
    <w:name w:val="F06B60376D5942FEB7B69578697A76D8"/>
    <w:rsid w:val="008C52D6"/>
    <w:pPr>
      <w:spacing w:line="276" w:lineRule="auto"/>
    </w:pPr>
    <w:rPr>
      <w:color w:val="000000"/>
    </w:rPr>
  </w:style>
  <w:style w:type="character" w:customStyle="1" w:styleId="LinkExclude">
    <w:name w:val="Link Exclude"/>
    <w:basedOn w:val="DefaultParagraphFont"/>
    <w:uiPriority w:val="1"/>
    <w:qFormat/>
    <w:rsid w:val="00B52C7D"/>
    <w:rPr>
      <w:rFonts w:ascii="Times New Roman" w:hAnsi="Times New Roman"/>
      <w:color w:val="000000"/>
      <w:sz w:val="24"/>
    </w:rPr>
  </w:style>
  <w:style w:type="paragraph" w:styleId="Revision">
    <w:name w:val="Revision"/>
    <w:hidden/>
    <w:uiPriority w:val="99"/>
    <w:semiHidden/>
    <w:rsid w:val="00B24010"/>
    <w:pPr>
      <w:spacing w:after="0" w:line="240" w:lineRule="auto"/>
    </w:pPr>
    <w:rPr>
      <w:color w:val="000000"/>
    </w:r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customXml" Target="../customXml/item7.xml"/><Relationship Id="rId11" Type="http://schemas.openxmlformats.org/officeDocument/2006/relationships/footer" Target="footer1.xml"/><Relationship Id="rId12" Type="http://schemas.openxmlformats.org/officeDocument/2006/relationships/theme" Target="theme/theme1.xml"/><Relationship Id="rId13" Type="http://schemas.openxmlformats.org/officeDocument/2006/relationships/numbering" Target="numbering.xml"/><Relationship Id="rId14"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customXml" Target="../customXml/item2.xml"/><Relationship Id="rId6" Type="http://schemas.openxmlformats.org/officeDocument/2006/relationships/customXml" Target="../customXml/item3.xml"/><Relationship Id="rId7" Type="http://schemas.openxmlformats.org/officeDocument/2006/relationships/customXml" Target="../customXml/item4.xml"/><Relationship Id="rId8" Type="http://schemas.openxmlformats.org/officeDocument/2006/relationships/customXml" Target="../customXml/item5.xml"/><Relationship Id="rId9"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n-document xmlns:xsd="http://www.w3.org/2001/XMLSchema" xmlns:xsi="http://www.w3.org/2001/XMLSchema-instance" guid="0" synced="true" validated="true">
  <n-docbody>
    <standard.doc precedenttype="agreement">
      <prelim>
        <product.name>product.name0</product.name>
        <title>Privacy policy</title>
        <author>
          Practical Law Data Privacy and Cybersecurity with assistance from 
          <link href="https://www.dlapiper.com/en/australia/people/l/lyons-tim/" style="ACTLinkURL">
            <ital>Tim Lyons</ital>
          </link>
          , 
          <link href="https://www.dlapiper.com/en" style="ACTLinkURL">
            <ital>DLA Piper </ital>
          </link>
          and 
          <link href="https://www.whitecase.com/people/nicholas-boyle" style="ACTLinkURL">
            <ital>Nicholas Boyle, Partner</ital>
          </link>
          , 
          <link href="https://www.whitecase.com/" style="ACTLinkURL">
            <ital>White &amp; Case</ital>
          </link>
           (formerly Bird &amp; Bird)
        </author>
        <resource.type>Standard documents</resource.type>
        <juris>juris0</juris>
        <juris>juris1</juris>
      </prelim>
      <abstract>
        <para>
          <paratext>
            A standard document that outlines the key provisions for a privacy policy designed to help Australian organisations comply with the 
            <ital>Privacy Act 1988</ital>
             (Cth) and the 
            <link href="w-005-8244" style="ACTLinkPLCtoPLC">
              <ital>Australian Privacy Principles (APPs)</ital>
            </link>
            .
          </paratext>
        </para>
        <para>
          <paratext>This document details how an organisation can describe its management of personal information, including the kinds of information collected, the purposes for its collection, use and disclosure, and the methods of collection and storage. It addresses crucial aspects such as data security measures, procedures for handling privacy complaints and the process for individuals to access and correct their personal information.</paratext>
        </para>
        <para>
          <paratext>
            Guidance within this document touches on emerging issues such as the use of 
            <link href="w-039-9094" style="ACTLinkPLCtoPLC">
              <ital>artificial intelligence (AI)</ital>
            </link>
            , automated decision-making under the 
            <ital>Privacy and Other Legislation Amendment Act 2024</ital>
             (Cth) and online tracking technologies like pixels.
          </paratext>
        </para>
      </abstract>
      <toc.identifier hasToc="false"/>
      <body>
        <drafting.note id="a325661" jurisdiction="">
          <head align="left" preservecase="true">
            <headtext>About this document</headtext>
          </head>
          <division id="a000007" level="1">
            <para>
              <paratext>
                This template privacy policy is designed to help organisations describe how they manage 
                <link href="w-003-9190" style="ACTLinkPLCtoPLC">
                  <bold>
                    <ital>personal information</ital>
                  </bold>
                </link>
                 in accordance with the 
                <ital>Privacy Act 1988</ital>
                 (Cth) (
                <bold>Privacy Act</bold>
                ) and the 
                <link href="w-005-8244" style="ACTLinkPLCtoPLC">
                  <ital>Australian Privacy Principles (APPs)</ital>
                </link>
                .
              </paratext>
            </para>
            <para>
              <paratext>This is an external facing policy. Large or complex organisations may need to consider having more than one policy for different parts of the business, or for different functions and activities. It may also be necessary to have a separate internal facing policy applicable to the handling of personal information about current or former employees.</paratext>
            </para>
            <para>
              <paratext>This policy assumes that the organisation:</paratext>
            </para>
            <list type="bulleted">
              <list.item>
                <para>
                  <paratext>Is subject to the Privacy Act.</paratext>
                </para>
              </list.item>
              <list.item>
                <para>
                  <paratext>Has both a physical and an online presence.</paratext>
                </para>
              </list.item>
              <list.item>
                <para>
                  <paratext>
                    Is not subject to the Consumer Data Right (
                    <bold>CDR</bold>
                    ) regime. It may be necessary to have a separate internal or external facing policy applicable to the handling of CDR data.
                  </paratext>
                </para>
              </list.item>
            </list>
            <para>
              <paratext>
                This template privacy policy does not cover obligations that Australian businesses may need to comply with under international data protection regimes such as the European Union's General Data Protection Regulation (
                <bold>GDPR</bold>
                ). For more information about the GDPR, see 
                <link href="w-048-2076" style="ACTLinkPLCtoPLC">
                  <ital>Toolkit, GDPR compliance for Australian businesses</ital>
                </link>
                .
              </paratext>
            </para>
            <para>
              <paratext>For:</paratext>
            </para>
            <list type="bulleted">
              <list.item>
                <para>
                  <paratext>
                    A general overview of the key areas of law that are relevant to privacy and data protection in Australia, see 
                    <link href="w-005-3893" style="ACTLinkPLCtoPLC">
                      <ital>Practice note: overview, Australian data protection and privacy laws</ital>
                    </link>
                    .
                  </paratext>
                </para>
              </list.item>
              <list.item>
                <para>
                  <paratext>
                    A list of resources on Practical Law relating to data protection and privacy relevant to Australian legal practitioners, see 
                    <link href="w-032-5439" style="ACTLinkPLCtoPLC">
                      <ital>Toolkit, Data protection and privacy</ital>
                    </link>
                    .
                  </paratext>
                </para>
              </list.item>
              <list.item>
                <para>
                  <paratext>
                    A legislation tracker that monitors the progress of key developments in Australian privacy law reform, see 
                    <link href="w-028-4963" style="ACTLinkPLCtoPLC">
                      <ital>Legislation Tracker, Australian privacy law reform</ital>
                    </link>
                    .
                  </paratext>
                </para>
              </list.item>
            </list>
          </division>
          <division id="a384859" level="1">
            <head align="left" preservecase="true">
              <headtext>Specific requirements for an APP privacy policy</headtext>
            </head>
            <para>
              <paratext>
                The APPs require an 
                <link href="w-005-1626" style="ACTLinkPLCtoPLC">
                  <bold>
                    <ital>APP entity</ital>
                  </bold>
                </link>
                 to have a clearly expressed and up-to-date privacy policy (
                <bold>APP privacy policy</bold>
                ) describing how it manages personal information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1.3</ital>
                </link>
                ).
              </paratext>
            </para>
            <para>
              <paratext>An APP privacy policy must contain the following information:</paratext>
            </para>
            <list type="bulleted">
              <list.item>
                <para>
                  <paratext>The kinds of personal information that the entity collects and holds (APP 1.4(a)).</paratext>
                </para>
              </list.item>
              <list.item>
                <para>
                  <paratext>How the entity collects and holds personal information (APP 1.4(b)).</paratext>
                </para>
              </list.item>
              <list.item>
                <para>
                  <paratext>The purposes for which the entity collects, holds, uses and discloses personal information (APP 1.4(c)).</paratext>
                </para>
              </list.item>
              <list.item>
                <para>
                  <paratext>How an individual may access personal information about the individual that is held by the entity and seek the correction of such information (APP 1.4(d)).</paratext>
                </para>
              </list.item>
              <list.item>
                <para>
                  <paratext>How an individual may complain about a breach of the APPs or a registered APP code (if any) that binds the entity, and how the entity will deal with such a complaint (APP 1.4(e)).</paratext>
                </para>
              </list.item>
              <list.item>
                <para>
                  <paratext>Whether the entity is likely to disclose personal information to overseas recipients (APP 1.4(f)).</paratext>
                </para>
              </list.item>
              <list.item>
                <para>
                  <paratext>If the entity is likely to disclose personal information to overseas recipients, including the countries in which such recipients are likely to be located if it is practicable to specify those countries in the policy (APP 1.4(g)).</paratext>
                </para>
              </list.item>
            </list>
            <para>
              <paratext>An APP entity must also take reasonable steps to:</paratext>
            </para>
            <list type="bulleted">
              <list.item>
                <para>
                  <paratext>
                    Make the privacy policy available free of charge and in an appropriate format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1.5</ital>
                    </link>
                    ).
                  </paratext>
                </para>
              </list.item>
              <list.item>
                <para>
                  <paratext>
                    Give the privacy policy to an individual in the form the individual requests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1.6</ital>
                    </link>
                    ).
                  </paratext>
                </para>
              </list.item>
            </list>
            <para>
              <paratext>
                For further information on the APPs, see 
                <link href="w-005-3895" style="ACTLinkPLCtoPLC">
                  <ital>Practice note, Australian Privacy Principles</ital>
                </link>
                .
              </paratext>
            </para>
          </division>
          <division id="a364822" level="1">
            <head align="left" preservecase="true">
              <headtext>APP privacy policy requirements for automated decisions (commencement date December 2026)</headtext>
            </head>
            <para>
              <paratext>
                The 
                <link href="https://www.legislation.gov.au/C2024A00128/asmade/text" style="ACTLinkURL">
                  <ital>Privacy and Other Legislation Amendment Act 2024 (Cth)</ital>
                </link>
                 (
                <bold>POLA Act 2024</bold>
                ) introduced a range of amendments to the Privacy Act including requirements for APP privacy policies to contain information about automated decisions that significantly affect the rights or interests of an individual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amp;amp;firstPage=true" style="ACTLinkURL">
                  <ital>APP 1.7</ital>
                </link>
                 and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amp;amp;firstPage=true" style="ACTLinkURL">
                  <ital>APP 1.8</ital>
                </link>
                ). The commencement date for these amendments is 10 December 2026.
              </paratext>
            </para>
            <para>
              <paratext>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amp;amp;firstPage=true" style="ACTLinkURL">
                  <ital>APP 1.7</ital>
                </link>
                 requires that an APP privacy policy must contain certain information if all of the following circumstances apply:
              </paratext>
            </para>
            <list type="bulleted">
              <list.item>
                <para>
                  <paratext>
                    An entity has arranged for a 
                    <bold>computer program</bold>
                     to make, or do a thing that is substantially and directly related to making, a decision.
                  </paratext>
                </para>
              </list.item>
              <list.item>
                <para>
                  <paratext>The decision could reasonably be expected to significantly affect the rights or interests of an individual.</paratext>
                </para>
              </list.item>
              <list.item>
                <para>
                  <paratext>Personal information about the individual is used in the operation of the computer program to make the decision or do the thing that is substantially and directly related to making the decision.</paratext>
                </para>
              </list.item>
            </list>
            <para>
              <paratext>A decision that may affect the rights or interests of an individual includes a decision that may impact a decision to grant a benefit to the individual, their rights under a contract or their access to a significant service or support (for example, healthcare services) (APP 1.9).</paratext>
            </para>
            <para>
              <paratext>
                Under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amp;amp;firstPage=true" style="ACTLinkURL">
                  <ital>APP 1.8</ital>
                </link>
                , the information that must be included in an APP privacy policy are the kinds of:
              </paratext>
            </para>
            <list type="bulleted">
              <list.item>
                <para>
                  <paratext>Personal information used in the operation of such computer programs.</paratext>
                </para>
              </list.item>
              <list.item>
                <para>
                  <paratext>Decisions made solely by the operation of such computer programs.</paratext>
                </para>
              </list.item>
              <list.item>
                <para>
                  <paratext>Decisions for which a thing, that is substantially and directly related to making the decision, is done by the operation of such computer programs.</paratext>
                </para>
              </list.item>
            </list>
            <para>
              <paratext>
                The term "computer program" in APP 1.7 and APP 1.8 is intended to have a broad meaning and encompass a variety of technologies that may be used to automate decision-making processes including, but not limited to, AI, pre-programmed rule-based processes and machine learning processes (see 
                <link href="https://parlinfo.aph.gov.au/parlInfo/download/legislation/ems/r7249_ems_a01fc1bd-4aa3-4fc2-87d7-ed8aa84ab564/upload_pdf/JC014082.pdf;fileType=application/pdf" style="ACTLinkURL">
                  <ital>Explanatory Memorandum to the Privacy and Other Legislation Amendment Bill 2024 (Cth) at [336]</ital>
                </link>
                ).
              </paratext>
            </para>
          </division>
          <division id="a312612" level="1">
            <head align="left" preservecase="true">
              <headtext>APP privacy policy requirements under the draft Children's Online Privacy Code</headtext>
            </head>
            <para>
              <paratext>
                The POLA Act 2024 also introduced amendments to the Privacy Act requiring the Australian Information Commissioner (
                <bold>Commissioner</bold>
                ) to develop an APP code about online privacy for children (Children's Online Privacy Code (
                <bold>COP Code</bold>
                )) (section 26GC, Privacy Act).
              </paratext>
            </para>
            <para>
              <paratext>
                The exposure draft of the COP Code was released on 31 March 2026 and includes specific APP privacy policy requirements for entities bound by the COP Code. The COP Code must be finalised and registered by 10 December 2026 (for further information, see 
                <link href="https://www.oaic.gov.au/privacy/privacy-registers/privacy-codes/childrens-online-privacy-code" style="ACTLinkURL">
                  <ital>OAIC: Children's Online Privacy Code</ital>
                </link>
                ).
              </paratext>
            </para>
            <para>
              <paratext>
                For further information about the reforms introduced by the POLA Act 2024, see 
                <link href="w-045-1848" style="ACTLinkPLCtoPLC">
                  <ital>Legal update, First tranche of Privacy Act reforms passes both Houses of Parliament</ital>
                </link>
                .
              </paratext>
            </para>
            <para>
              <paratext>
                A legislation tracker which monitors the progress of key developments in Australian privacy law reform, see 
                <link href="w-028-4963" style="ACTLinkPLCtoPLC">
                  <ital>Legislation Tracker, Australian privacy law reform</ital>
                </link>
                .
              </paratext>
            </para>
          </division>
          <division id="a493946" level="1">
            <head align="left" preservecase="true">
              <headtext>Penalties for non-compliance with APP privacy policy requirements</headtext>
            </head>
            <para>
              <paratext>
                Under section 13(1) of the Privacy Act, an act or practice that breaches the APPs is an interference with privacy, which enlivens the Commissioner's investigation and enforcement powers under the Act. The POLA Act 2024 introduced, among other measures, additional tiers of civil penalties for less serious interferences with privacy and powers for the Commissioner
                <bold> </bold>
                to issue compliance notices and infringement notices for specific administrative breaches of the Privacy Act. This includes breaches of:
              </paratext>
            </para>
            <list type="bulleted">
              <list.item>
                <para>
                  <paratext>APP 1.3 (the requirement to have an APP privacy policy).</paratext>
                </para>
              </list.item>
              <list.item>
                <para>
                  <paratext>APP 1.4 (the prescribed contents of an APP privacy policy).</paratext>
                </para>
              </list.item>
            </list>
            <para>
              <paratext>(Sections 13K, 80U, 80UB and 80UC, Privacy Act.)</paratext>
            </para>
            <para>
              <paratext>
                For further information about the Commissioner's enforcement powers under the Privacy Act, see 
                <link href="w-005-3894" style="ACTLinkPLCtoPLC">
                  <ital>Practice note, Privacy law enforcement and regulation</ital>
                </link>
                 and 
                <link href="w-045-7123" style="ACTLinkPLCtoPLC">
                  <ital>Checklist, Civil penalties and infringement notices under the Privacy Act 1988 (Cth)</ital>
                </link>
                .
              </paratext>
            </para>
          </division>
          <division id="a108886" level="1">
            <head align="left" preservecase="true">
              <headtext>Difference between an APP privacy policy and a privacy collection notice</headtext>
            </head>
            <para>
              <paratext>
                There is some overlap between the topics that must be addressed in an APP privacy policy (in accordance with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ital>
                </link>
                ) and the matters specified in a privacy collection notice under 
                <link href="https://anzlaw.thomsonreuters.com/Link/Document/FullText?refType=U7&amp;amp;docFamilyGuid=I2d2cd15c0f6811ecae8d91026967941e&amp;amp;pubNum=1100190&amp;amp;originationContext=document&amp;amp;transitionType=PLDocumentLink&amp;amp;ppcid=5e77694e806e4cf7ad2174a0949c5ec8&amp;amp;contextData=(sc.Default)&amp;amp;comp=plcau" style="ACTLinkURL">
                  <ital>APP 5.2</ital>
                </link>
                . However, a privacy policy and a collection notice have different purposes. A privacy policy is an overarching statement that describes, in general terms, how an organisation handles personal information, while a collection notice is intended to provide context-specific information relating to a particular collection and is provided to individuals at the time, or as soon as practicable after, their personal information is collected.
              </paratext>
            </para>
            <para>
              <paratext>
                In general, reliance on a privacy policy alone will not be adequate to satisfy the requirements for notification under 
                <link href="https://anzlaw.thomsonreuters.com/Link/Document/FullText?refType=U7&amp;amp;docFamilyGuid=I2d2cd15c0f6811ecae8d91026967941e&amp;amp;pubNum=1100190&amp;amp;originationContext=document&amp;amp;transitionType=PLDocumentLink&amp;amp;ppcid=5e77694e806e4cf7ad2174a0949c5ec8&amp;amp;contextData=(sc.Default)&amp;amp;comp=plcau" style="ACTLinkURL">
                  <ital>APP 5</ital>
                </link>
                . However, an organisation may alert individuals to specific sections of its APP privacy policy (such as the section about likely overseas disclosures) where it is not reasonable to notify an individual of the full range of APP 5.2 matters provided the privacy policy covers the relevant matters with enough specificity as they relate to the particular collection.
              </paratext>
            </para>
            <para>
              <paratext>
                For a template privacy collection notice, see 
                <link href="w-048-6143" style="ACTLinkPLCtoPLC">
                  <ital>Standard document, Privacy collection notice (general)</ital>
                </link>
                .
              </paratext>
            </para>
            <para>
              <paratext>
                For further information, see 
                <link anchor="a272653" href="w-005-3895" style="ACTLinkPLCtoPLC">
                  <ital>Practice note, Australian Privacy Principles: Interaction of APP privacy policies with privacy collection notices issued under APP 5</ital>
                </link>
                . For a template privacy collection notice, see 
                <link href="w-048-6143" style="ACTLinkPLCtoPLC">
                  <ital>Standard document, Privacy collection notice (general)</ital>
                </link>
                .
              </paratext>
            </para>
          </division>
          <division id="a255801" level="1">
            <head align="left" preservecase="true">
              <headtext>How to use this document</headtext>
            </head>
            <para>
              <paratext>This template APP privacy policy is a guide only and needs to be tailored specifically to reflect the operations and practices of the relevant organisation. This may require significant assistance from operational personnel to ensure that the APP privacy policy correctly documents the organisation's actual personal information collection and handling practices.</paratext>
            </para>
            <para>
              <paratext>
                The 
                <link href="w-026-0093" style="ACTLinkURL">
                  <ital>Office of the Australian Information Commissioner (OAIC)</ital>
                </link>
                 has issued a 
                <link href="https://www.oaic.gov.au/agencies-and-organisations/guides/guide-to-developing-an-app-privacy-policy" style="ACTLinkURL">
                  <ital>Guide to developing an APP privacy policy</ital>
                </link>
                . The guide contains a detailed checklist to help an organisation ensure its privacy policy meets the requirements of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ital>
                </link>
                . The OAIC's guidance emphasises the need for APP entities to ensure that their APP privacy policies are appropriately tailored and specific to the relevant entity.
              </paratext>
            </para>
            <para>
              <paratext>The headings and tone of this document are a guide only. Organisations should arrange the information in this template in a way that makes sense for their functions, activities and target audience.</paratext>
            </para>
            <para>
              <paratext>The privacy policy should be as specific as possible about how the organisation handles personal information and should avoid the use of vague words such as "may", which can create uncertainty for individuals.</paratext>
            </para>
            <para>
              <paratext>As a customer facing document, an APP privacy policy should be clear, concise and easy to read. The design, format and language used in the policy should also be tailored for the organisation's target audience.</paratext>
            </para>
          </division>
        </drafting.note>
        <preamble>
          <para>
            <paratext>[ADD A PREAMBLE IF REQUIRED]</paratext>
          </para>
        </preamble>
        <operative xrefname="paragraph">
          <clause id="a573237">
            <identifier>1.</identifier>
            <head align="left" preservecase="true">
              <headtext>About this privacy policy</headtext>
            </head>
            <subclause1 id="a121184">
              <identifier>1.1</identifier>
              <para>
                <paratext>
                  We are bound by the 
                  <ital>Privacy Act 1988 </ital>
                  (Cth) (
                  <defn.term>Privacy Act</defn.term>
                  ) and the Australian Privacy Principles (
                  <defn.term>APPs</defn.term>
                  ). This policy explains how and why we collect, use, hold and disclose your personal information.
                </paratext>
              </para>
            </subclause1>
            <subclause1 id="a855099">
              <identifier>1.2</identifier>
              <para>
                <paratext>
                  <bold>"We", "us" and "our"</bold>
                   means [FULL COMPANY NAME] [ACN 
                  <bold>OR</bold>
                   ABN] [NUMBER] of [REGISTERED OFFICE ADDRESS].
                </paratext>
              </para>
              <drafting.note id="a984611" jurisdiction="">
                <head align="left" preservecase="true">
                  <headtext>Privacy policies and consent</headtext>
                </head>
                <division id="a000008" level="1">
                  <para>
                    <paratext>
                      Consent is a key element of Australia's privacy and data protection regime (for further information, see 
                      <link href="w-005-3893" style="ACTLinkPLCtoPLC">
                        <ital>Practice note: overview, Australian data protection and privacy laws</ital>
                      </link>
                      ).
                    </paratext>
                  </para>
                  <para>
                    <paratext>Organisations must generally obtain consent in relation to:</paratext>
                  </para>
                  <list type="bulleted">
                    <list.item>
                      <para>
                        <paratext>
                          The collection and secondary use or disclosure of 
                          <link href="w-003-9191" style="ACTLinkPLCtoPLC">
                            <bold>
                              <ital>sensitive information</ital>
                            </bold>
                          </link>
                           (unless an exception applies) (see 
                          <ital>Practice notes</ital>
                          , 
                          <link anchor="a204214" href="w-005-4063" style="ACTLinkPLCtoPLC">
                            <ital>Key concepts in privacy law: Sensitive information</ital>
                          </link>
                           and 
                          <link anchor="a974490" href="w-005-3895" style="ACTLinkPLCtoPLC">
                            <ital>Australian Privacy Principles: Collection of sensitive information</ital>
                          </link>
                          ).
                        </paratext>
                      </para>
                    </list.item>
                    <list.item>
                      <para>
                        <paratext>
                          The use of 
                          <link href="w-003-9190" style="ACTLinkPLCtoPLC">
                            <bold>
                              <ital>personal information</ital>
                            </bold>
                          </link>
                           to send marketing communications, as regulated by the 
                          <ital>Spam Act 2003</ital>
                           (Cth)
                          <ital> </ital>
                          and 
                          <ital>Spam Regulation 2021</ital>
                           (Cth). For further information, see 
                          <link anchor="a855232" href="w-003-9414" style="ACTLinkPLCtoPLC">
                            <ital>Practice note, Digital and online marketing: Spam Act</ital>
                          </link>
                          .
                        </paratext>
                      </para>
                    </list.item>
                  </list>
                  <para>
                    <paratext>
                      A privacy policy is primarily a transparency mechanism that must include information about an organisation's personal information handling practices in accordance with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ital>
                      </link>
                      . Although some organisations may include in a privacy policy an acknowledgement or statement that purports to obtain an individual's consent to the acts and practices outlined in the privacy policy, this 
                      <bold>will not</bold>
                       generally be sufficient to satisfy the key elements of valid consent.
                    </paratext>
                  </para>
                  <para>
                    <paratext>
                      In 
                      <link href="https://www.oaic.gov.au/__data/assets/pdf_file/0021/10686/Commissioner-initiated-investigation-into-Eleven-Stores-Pty-Ltd-Privacy.pdf" style="ACTLinkURL">Commissioner initiated investigation into 7-Eleven Stores Pty Ltd (Privacy) [2021] AICmr 50 (29 September 2021)</link>
                      , the Australian Information Commissioner and Privacy Commissioner emphasised that a privacy policy is not generally a way of providing notice and obtaining consent and that any consent that might be inferred from the publication of a privacy policy would not be current and specific to the circumstances in which the information was being collected.
                    </paratext>
                  </para>
                </division>
              </drafting.note>
            </subclause1>
          </clause>
          <clause id="a362607">
            <identifier>2.</identifier>
            <head align="left" preservecase="true">
              <headtext>Meaning of personal information and sensitive information</headtext>
            </head>
            <drafting.note id="a260424" jurisdiction="">
              <head align="left" preservecase="true">
                <headtext>Meaning of personal information and sensitive information</headtext>
              </head>
              <division id="a000009" level="1">
                <para>
                  <paratext>The definitions of personal information and sensitive information (if relevant in the circumstances) from section 6 of the Privacy Act are included to provide context and frame the scope of the policy. This is an optional paragraph as it is not a mandatory requirement under APP 1 for organisations to include these definitions in their privacy policies.</paratext>
                </para>
                <para>
                  <paratext>
                    It 
                    <bold>is</bold>
                     a mandatory requirement for organisations to set out the 
                    <bold>kinds</bold>
                     of personal information they collect and hold (see 
                    <internal.reference refid="a325341">
                      <ital>Drafting note, Kinds of personal information we collect and hold</ital>
                    </internal.reference>
                    ).
                  </paratext>
                </para>
              </division>
            </drafting.note>
          </clause>
          <clause condition="optional" id="a983842" numbering="none">
            <para>
              <paratext>Personal information is any information or an opinion about an identified individual or an individual who can be reasonably identified from the information or opinion. Information or an opinion may be personal information regardless of whether it is true.</paratext>
            </para>
          </clause>
          <clause condition="optional" id="a678246" numbering="none">
            <para>
              <paratext>Sensitive information means:</paratext>
            </para>
            <list type="bulleted">
              <list.item>
                <para>
                  <paratext>Information or an opinion (that is also personal information) about an individual's:</paratext>
                </para>
                <list type="bulleted">
                  <list.item>
                    <para>
                      <paratext>racial or ethnic origin;</paratext>
                    </para>
                  </list.item>
                  <list.item>
                    <para>
                      <paratext>political opinions;</paratext>
                    </para>
                  </list.item>
                  <list.item>
                    <para>
                      <paratext>membership of a political association;</paratext>
                    </para>
                  </list.item>
                  <list.item>
                    <para>
                      <paratext>religious beliefs or affiliations;</paratext>
                    </para>
                  </list.item>
                  <list.item>
                    <para>
                      <paratext>philosophical beliefs;</paratext>
                    </para>
                  </list.item>
                  <list.item>
                    <para>
                      <paratext>membership of a professional or trade association;</paratext>
                    </para>
                  </list.item>
                  <list.item>
                    <para>
                      <paratext>membership of a trade union;</paratext>
                    </para>
                  </list.item>
                  <list.item>
                    <para>
                      <paratext>sexual orientation or practices;</paratext>
                    </para>
                  </list.item>
                  <list.item>
                    <para>
                      <paratext>criminal record;</paratext>
                    </para>
                  </list.item>
                  <list.item>
                    <para>
                      <paratext>health information about an individual;</paratext>
                    </para>
                  </list.item>
                </list>
              </list.item>
              <list.item>
                <para>
                  <paratext>Health information about an individual.</paratext>
                </para>
              </list.item>
              <list.item>
                <para>
                  <paratext>Genetic information about an individual that is not otherwise health information.</paratext>
                </para>
              </list.item>
              <list.item>
                <para>
                  <paratext>Biometric information that is to be used for the purpose of automated biometric verification or biometric identification.</paratext>
                </para>
              </list.item>
              <list.item>
                <para>
                  <paratext>Biometric templates.</paratext>
                </para>
              </list.item>
            </list>
          </clause>
          <clause id="a590653">
            <identifier>3.</identifier>
            <head align="left" preservecase="true">
              <headtext>Kinds of personal information we collect and hold</headtext>
            </head>
            <drafting.note id="a325341" jurisdiction="">
              <head align="left" preservecase="true">
                <headtext>Kinds of personal information we collect and hold</headtext>
              </head>
              <division id="a000010" level="1">
                <para>
                  <paratext>
                    <internal.reference refid="a590653">Paragraph 3</internal.reference>
                     should specify the kinds of 
                    <link href="w-003-9190" style="ACTLinkPLCtoPLC">
                      <bold>
                        <ital>personal information</ital>
                      </bold>
                    </link>
                     that are collected and held by the organisation.
                  </paratext>
                </para>
                <para>
                  <paratext>For example, the kinds of personal information collected by an organisation may include:</paratext>
                </para>
                <list type="bulleted">
                  <list.item>
                    <para>
                      <paratext>Name and title.</paratext>
                    </para>
                  </list.item>
                  <list.item>
                    <para>
                      <paratext>Gender.</paratext>
                    </para>
                  </list.item>
                  <list.item>
                    <para>
                      <paratext>Date of birth.</paratext>
                    </para>
                  </list.item>
                  <list.item>
                    <para>
                      <paratext>Contact details such as telephone number, email and postal address.</paratext>
                    </para>
                  </list.item>
                  <list.item>
                    <para>
                      <paratext>Payment details.</paratext>
                    </para>
                  </list.item>
                  <list.item>
                    <para>
                      <paratext>Identification information (such as details of government-issued identification documents like a driver's licence or passport).</paratext>
                    </para>
                  </list.item>
                  <list.item>
                    <para>
                      <paratext>Educational qualifications (where collecting information from job applicants).</paratext>
                    </para>
                  </list.item>
                  <list.item>
                    <para>
                      <paratext>Details of enquiries or complaints.</paratext>
                    </para>
                  </list.item>
                  <list.item>
                    <para>
                      <paratext>Purchase history.</paratext>
                    </para>
                  </list.item>
                </list>
              </division>
              <division id="a195637" level="1">
                <head align="left" preservecase="true">
                  <headtext>Collecting sensitive information</headtext>
                </head>
                <para>
                  <paratext>
                    The OAIC has provided guidance that the policy should focus on what is likely to be most important to the readers. The policy should provide more detailed information about particular types of information that individuals are most likely to be concerned about or interested in. If the organisation collects and holds 
                    <link href="w-003-9191" style="ACTLinkPLCtoPLC">
                      <bold>
                        <ital>sensitive information</ital>
                      </bold>
                    </link>
                    , the policy should list sensitive information separately (
                    <link href="https://www.oaic.gov.au/agencies-and-organisations/guides/guide-to-developing-an-app-privacy-policy" style="ACTLinkURL">
                      <ital>OAIC: Guide to developing an APP privacy policy</ital>
                    </link>
                    ).
                  </paratext>
                </para>
                <para>
                  <paratext>
                    In 
                    <ital>Bunnings Group Ltd v Privacy Commissioner</ital>
                     [2026] ARTA 130, the Administrative Review Tribunal (
                    <bold>Tribunal</bold>
                    ) affirmed the Australian Privacy Commissioner's previous findings that Bunnings Group Limited (
                    <bold>Bunnings</bold>
                    ) had breached APP 1.3 in relation to its use of facial recognition technology (
                    <bold>FRT</bold>
                    ). While different versions of Bunnings' privacy policy referred to the collection of "images from video surveillance and other cameras in our stores", the policy did not specifically describe the collection of 
                    <bold>biometric information</bold>
                     using the FRT system.
                  </paratext>
                </para>
                <para>
                  <paratext>
                    The Tribunal confirmed the OAIC's regulatory guidance that more detailed and specific information should be included in an organisation's APP privacy policy when collecting and handling sensitive information including the exact type of information being collected (for example, biometric information or biometric templates), and the method and technologies used to collect the information to satisfy the requirements of APP 1.4(a) and APP 1.4(b) (see also 
                    <internal.reference refid="a776068">
                      <ital>paragraph 5</ital>
                    </internal.reference>
                    ).
                  </paratext>
                </para>
                <para>
                  <paratext>
                    For more information about the Bunnings decision, see 
                    <link href="w-049-4108" style="ACTLinkPLCtoPLC">
                      <ital>Legal update, Tribunal overturns decision that Bunnings' use of facial recognition technology breached Privacy Act</ital>
                    </link>
                    .
                  </paratext>
                </para>
                <para>
                  <paratext>
                    For further information on the meaning of sensitive information, see 
                    <link anchor="a204214" href="w-005-4063" style="ACTLinkPLCtoPLC">
                      <ital>Practice note, Key concepts in privacy laws: Sensitive information</ital>
                    </link>
                    .
                  </paratext>
                </para>
              </division>
              <division id="a248066" level="1">
                <head align="left" preservecase="true">
                  <headtext>Cookies, pixels and website analytics</headtext>
                </head>
                <para>
                  <paratext>
                    While there are currently no legal or regulatory requirements in Australia applying specifically to the use of cookies, the information collected by cookies (and other tracking technologies like pixels) could potentially be 
                    <link href="w-003-9190" style="ACTLinkPLCtoPLC">
                      <bold>
                        <ital>personal information</ital>
                      </bold>
                    </link>
                     so it is prudent to address in a privacy policy whether these technologies are used and the kinds of personal information they collect.
                  </paratext>
                </para>
                <para>
                  <paratext>It is also prudent to address how any website analytics tools such as Google Analytics, which facilitate the analysis of website traffic, are used and the types of personal information they collect.</paratext>
                </para>
                <para>
                  <paratext>
                    The OAIC has published guidance on the use of tracking pixels, which recognises that collecting personal information covertly without the knowledge of the individual is likely to be an unfair means of collection under APP 3.5. Organisations must ensure that their privacy policies and notifications contain clear and transparent information about the use of third-party tracking pixels, which is equally applicable to other tracking technologies like cookies (see 
                    <link href="https://www.oaic.gov.au/privacy/privacy-guidance-for-organisations-and-government-agencies/organisations/tracking-pixels-and-privacy-obligations" style="ACTLinkURL">
                      <ital>OAIC: Tracking pixels and privacy obligations</ital>
                    </link>
                    ).
                  </paratext>
                </para>
                <para>
                  <paratext>
                    <internal.reference refid="a764657">
                      <ital>Paragraph 3.3</ital>
                    </internal.reference>
                     should set out the kinds of personal information collected by these technologies when an individual interacts with the organisation's website, app or other digital channels (if applicable), for example:
                  </paratext>
                </para>
                <list type="bulleted">
                  <list.item>
                    <para>
                      <paratext>
                        <lang val="en-AU">Technical data, which may include IP address (short for Internet Protocol address), the type of device the individual is using to access the website, device attributes, browser type, language and operating system.</lang>
                      </paratext>
                    </para>
                  </list.item>
                  <list.item>
                    <para>
                      <paratext>
                        <lang val="en-AU">The location from which the individual has come to the site and the pages the individual has visited.</lang>
                      </paratext>
                    </para>
                  </list.item>
                </list>
                <para>
                  <paratext>
                    The use of these technologies to collect personal information is addressed further below  at 
                    <internal.reference refid="a776068">
                      <ital>paragraph 5</ital>
                    </internal.reference>
                    .
                  </paratext>
                </para>
              </division>
            </drafting.note>
            <subclause1 id="a558066">
              <identifier>3.1</identifier>
              <para>
                <paratext>The kinds of personal information we collect and hold about you are:</paratext>
              </para>
              <subclause2 id="a971405">
                <identifier>(a)</identifier>
                <para>
                  <paratext>[LIST THE KINDS OF PERSONAL INFORMATION COLLECTED AND HELD].</paratext>
                </para>
              </subclause2>
            </subclause1>
            <subclause1 id="a447002">
              <identifier>3.2</identifier>
              <para>
                <paratext>[We also collect and hold the following kinds of sensitive information about you:</paratext>
              </para>
              <subclause2 id="a315663">
                <identifier>(a)</identifier>
                <para>
                  <paratext>[LIST THE SPECIFIC KINDS OF SENSITIVE INFORMATION COLLECTED AND HELD].]</paratext>
                </para>
              </subclause2>
            </subclause1>
            <subclause1 id="a764657">
              <identifier>3.3</identifier>
              <para>
                <paratext>
                  We also collect information about how you access, use and interact with our [website, app and other digital channels 
                  <bold>OR</bold>
                   [DIGITAL PROPERTY]]. This information includes:
                </paratext>
              </para>
              <subclause2 id="a335053">
                <identifier>(a)</identifier>
                <para>
                  <paratext>[LIST THE KINDS OF PERSONAL INFORMATION COLLECTED AND HELD].</paratext>
                </para>
              </subclause2>
            </subclause1>
          </clause>
          <clause id="a923588">
            <identifier>4.</identifier>
            <head align="left" preservecase="true">
              <headtext>Why we collect, hold, use and disclose your personal information</headtext>
            </head>
            <drafting.note id="a701707" jurisdiction="">
              <head align="left" preservecase="true">
                <headtext>Why we collect, hold, use and disclose your personal information</headtext>
              </head>
              <division id="a000011" level="1">
                <para>
                  <paratext>
                    <internal.reference refid="a923588">
                      <ital>Paragraph 4</ital>
                    </internal.reference>
                     should set out the purposes for which the organisation usually collects, holds, uses and discloses 
                    <link href="w-003-9190" style="ACTLinkPLCtoPLC">
                      <bold>
                        <ital>personal information</ital>
                      </bold>
                    </link>
                     as required by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1.4(c)</ital>
                    </link>
                    .
                  </paratext>
                </para>
                <para>
                  <paratext>
                    The OAIC's guidance states that the sections of an APP privacy policy addressing the purposes of collection, holding, use and disclosure should focus in most detail on the particular uses or disclosures that individuals are most likely to be concerned about or interested in (
                    <link href="https://www.oaic.gov.au/agencies-and-organisations/guides/guide-to-developing-an-app-privacy-policy" style="ACTLinkURL">
                      <ital>OAIC: Guide to developing an APP privacy policy</ital>
                    </link>
                    ).
                  </paratext>
                </para>
                <para>
                  <paratext>
                    The description of purposes in accordance with APP 1.4(c) could also indicate the range of people or entities to which personal information is usually disclosed, and details about an entity's functions or activities that involve personal information that are contracted out to third parties (see 
                    <link href="https://www.oaic.gov.au/privacy/australian-privacy-principles/australian-privacy-principles-guidelines/chapter-1-app-1-open-and-transparent-management-of-personal-information" style="ACTLinkURL">
                      <ital>OAIC: Chapter 1: APP 1 Open and transparent management of personal information</ital>
                    </link>
                    ). The purposes for which an organisation discloses personal information, and the typical recipients of that information, is addressed separately below at 
                    <internal.reference refid="a158505">
                      <ital>paragraph 4.2</ital>
                    </internal.reference>
                    .
                  </paratext>
                </para>
                <para>
                  <paratext>It is not necessary to describe normal internal operational or business practices such as billing, auditing, business planning or de-identifying personal information.</paratext>
                </para>
                <para>
                  <paratext>Examples of the purposes for which an organisation may collect, hold or use personal information include to:</paratext>
                </para>
                <list type="bulleted">
                  <list.item>
                    <para>
                      <paratext>Provide an individual with products and services and manage the organisation's relationship with the individual.</paratext>
                    </para>
                  </list.item>
                  <list.item>
                    <para>
                      <paratext>Respond to an individual's enquiry about the organisation's services.</paratext>
                    </para>
                  </list.item>
                  <list.item>
                    <para>
                      <paratext>Verify an individual's identity for the purposes of processing a licence, allowance, benefit or concession.</paratext>
                    </para>
                  </list.item>
                  <list.item>
                    <para>
                      <paratext>Provide online services, content and communications, and measure an individual's interactions on a statistical and individual basis.</paratext>
                    </para>
                  </list.item>
                  <list.item>
                    <para>
                      <paratext>Send an individual direct marketing communications and display targeted advertisements based on their preferences and interests.</paratext>
                    </para>
                  </list.item>
                  <list.item>
                    <para>
                      <paratext>Consider an individual's job application.</paratext>
                    </para>
                  </list.item>
                  <list.item>
                    <para>
                      <paratext>Ensure health and safety on the organisation's premises or to take steps to facilitate an individual's access to the organisation's premises.</paratext>
                    </para>
                  </list.item>
                  <list.item>
                    <para>
                      <paratext>Comply with the organisation's legal obligations and assist government and law enforcement agencies or regulators.</paratext>
                    </para>
                  </list.item>
                </list>
                <para>
                  <paratext>Examples of the range of entities to which personal information may be disclosed, and the purposes for which it may be disclosed, include to:</paratext>
                </para>
                <list type="bulleted">
                  <list.item>
                    <para>
                      <paratext>Related companies to carry out the functions and activities of a corporate group, or the functions and activities of individual companies within the group.</paratext>
                    </para>
                  </list.item>
                  <list.item>
                    <para>
                      <paratext>Third-party service providers to enable them to provide marketing or advertising services, payment services and information technology services.</paratext>
                    </para>
                  </list.item>
                  <list.item>
                    <para>
                      <paratext>Third parties for the purposes of a corporate transaction such as a merger or acquisition or an asset sale of business.</paratext>
                    </para>
                  </list.item>
                </list>
              </division>
              <division id="a854807" level="1">
                <head align="left" preservecase="true">
                  <headtext>Handling personal information in connection with AI</headtext>
                </head>
                <para>
                  <paratext>Organisations must comply with the Privacy Act and the APPs in relation to all uses of AI that involve the collection and handling of personal information. An organisation should include information in its privacy policy about the purposes for which the organisation collects, holds, uses and discloses personal information in connection with AI, which may include to:</paratext>
                </para>
                <list type="bulleted">
                  <list.item>
                    <para>
                      <paratext>Generate personal information (including images) or infer personal information about an individual.</paratext>
                    </para>
                  </list.item>
                  <list.item>
                    <para>
                      <paratext>Assist in decision-making processes involving an individual's personal information (such as in relation to an individual's insurance claim, home loan application, job application or to provide financial advice).</paratext>
                    </para>
                  </list.item>
                  <list.item>
                    <para>
                      <paratext>Train AI models (including disclosing personal information to AI developers to train AI models).</paratext>
                    </para>
                  </list.item>
                </list>
                <para>
                  <paratext>
                    <lang val="en-AU">For more information about the application of the APPs to different uses of AI, see </lang>
                    <link href="https://www.oaic.gov.au/privacy/privacy-guidance-for-organisations-and-government-agencies/guidance-on-privacy-and-the-use-of-commercially-available-ai-products" style="ACTLinkURL">
                      <ital>
                        <lang val="en-AU">OAIC: Guidance on privacy and the use of commercially available AI products</lang>
                      </ital>
                    </link>
                    <lang val="en-AU"> and </lang>
                    <link href="https://www.oaic.gov.au/privacy/privacy-guidance-for-organisations-and-government-agencies/guidance-on-privacy-and-developing-and-training-generative-ai-models" style="ACTLinkURL">
                      <ital>
                        <lang val="en-AU">Guidance on privacy and developing and training generative AI models</lang>
                      </ital>
                    </link>
                    <lang val="en-AU">.</lang>
                  </paratext>
                </para>
                <para>
                  <paratext>
                    <lang val="en-AU">For a list of Practical Law's resources on AI, see </lang>
                    <link href="w-040-8120" style="ACTLinkPLCtoPLC">
                      <ital>
                        <lang val="en-AU">Toolkit, AI</lang>
                      </ital>
                    </link>
                    <lang val="en-AU">.</lang>
                  </paratext>
                </para>
              </division>
            </drafting.note>
            <subclause1 id="a294423">
              <identifier>4.1</identifier>
              <para>
                <paratext>We collect, hold and use your personal information so that we can provide our goods and/or services, administer our organisation and comply with the law. The specific purposes for which we handle your personal information are to:</paratext>
              </para>
              <subclause2 id="a786160">
                <identifier>(a)</identifier>
                <para>
                  <paratext>[LIST THE PURPOSES FOR WHICH THE ORGANISATION COLLECTS, HOLDS AND USES THE INDIVIDUAL'S PERSONAL INFORMATION].</paratext>
                </para>
              </subclause2>
            </subclause1>
            <subclause1 id="a158505">
              <identifier>4.2</identifier>
              <para>
                <paratext>We also disclose your personal information to third parties for different purposes as follows:</paratext>
              </para>
              <subclause2 id="a202858">
                <identifier>(a)</identifier>
                <para>
                  <paratext>[LIST THE ENTITIES TO WHICH PERSONAL INFORMATION IS DISCLOSED AND THE PURPOSE OF THE DISCLOSURE].</paratext>
                </para>
              </subclause2>
            </subclause1>
          </clause>
          <clause id="a776068">
            <identifier>5.</identifier>
            <head align="left" preservecase="true">
              <headtext>How we collect your personal information</headtext>
            </head>
            <drafting.note id="a702542" jurisdiction="">
              <head align="left" preservecase="true">
                <headtext>How we collect your personal information</headtext>
              </head>
              <division id="a000012" level="1">
                <para>
                  <paratext>
                    <internal.reference refid="a776068">
                      <ital>Paragraph 5</ital>
                    </internal.reference>
                     should set out the organisation's usual approach to collecting 
                    <link href="w-003-9190" style="ACTLinkPLCtoPLC">
                      <bold>
                        <ital>personal information</ital>
                      </bold>
                    </link>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1.4(b)</ital>
                    </link>
                    ).
                  </paratext>
                </para>
                <para>
                  <paratext>
                    The policy should describe in general terms how personal information is collected 
                    <bold>directly</bold>
                     from individuals.
                  </paratext>
                </para>
                <list type="bulleted">
                  <list.item>
                    <para>
                      <paratext>
                        The policy should also include more detail about how personal information is collected 
                        <bold>indirectly </bold>
                        as individuals may not be aware of this collection.
                      </paratext>
                    </para>
                  </list.item>
                  <list.item>
                    <para>
                      <paratext>For example, the policy should set out whether the organisation collects personal information:</paratext>
                    </para>
                  </list.item>
                  <list.item>
                    <para>
                      <paratext>From related companies.</paratext>
                    </para>
                  </list.item>
                  <list.item>
                    <para>
                      <paratext>From third parties such as credit agencies, data brokers or referral services.</paratext>
                    </para>
                  </list.item>
                  <list.item>
                    <para>
                      <paratext>From social media, websites and other public sources.</paratext>
                    </para>
                  </list.item>
                  <list.item>
                    <para>
                      <paratext>
                        Using cookies and other online tracking technologies placed on the organisation's website (such as tracking pixels to target website visitors with advertisementss on third party digital platforms) (see 
                        <internal.reference refid="a248066">
                          <ital>Drafting note, Cookies, pixels and website analytics</ital>
                        </internal.reference>
                        ).
                      </paratext>
                    </para>
                  </list.item>
                  <list.item>
                    <para>
                      <paratext>
                        Using website analytics tools such as Google Analytics, which facilitate the analysis of website traffic (see 
                        <internal.reference refid="a248066">
                          <ital>Drafting note, Cookies, pixels and website analytics</ital>
                        </internal.reference>
                        ).
                      </paratext>
                    </para>
                  </list.item>
                  <list.item>
                    <para>
                      <paratext>Through video surveillance (such as closed-circuit television) when an individual visits the organisation's premises.</paratext>
                    </para>
                  </list.item>
                </list>
                <para>
                  <paratext>
                    If an organisation collects sensitive information, more detailed and specific information should be included in an organisation's APP privacy policy including the specific method or technologies used to collect the information (see 
                    <internal.reference refid="a195637">
                      <ital>Drafting note, Collecting sensitive information</ital>
                    </internal.reference>
                    ).
                  </paratext>
                </para>
                <para>
                  <paratext>If applicable, this paragraph should also specify whether the APP entity combines or links information it collects from individuals with information about those individuals that is collected from third parties.</paratext>
                </para>
              </division>
              <division id="a199245" level="1">
                <head align="left" preservecase="true">
                  <headtext>Using AI to generate personal information</headtext>
                </head>
                <para>
                  <paratext>
                    If AI systems are used to generate or infer personal information, including images, this is a collection of personal information and must comply with the APPs. Under the Privacy Act, the concept of collection applies broadly, and includes gathering, acquiring or obtaining personal information from any source and by any means, including where information is created with reference to, or generated from, other information an entity holds. For example, using AI to generate and record inferences about an individual's demographic information or political views based on data from their social media, will likely constitute a collection of personal information under the Privacy Act and must be handled in accordance with the APPs (see 
                    <link href="https://www.oaic.gov.au/privacy/privacy-guidance-for-organisations-and-government-agencies/guidance-on-privacy-and-the-use-of-commercially-available-ai-products" style="ACTLinkURL">
                      <ital>OAIC: Guidance on privacy and the use of commercially available AI products</ital>
                    </link>
                    ).
                  </paratext>
                </para>
                <para>
                  <paratext>If AI is used to generate or infer personal information, the organisation should ensure this type of indirect collection of personal information is clearly outlined in its privacy policy.</paratext>
                </para>
              </division>
            </drafting.note>
            <subclause1 id="a383924">
              <identifier>5.1</identifier>
              <para>
                <paratext>We generally collect your personal information directly from you whenever you interact with us[, for example, when you purchase or use any of our products or services, call us, interact with our chatbot or otherwise visit our website].</paratext>
              </para>
            </subclause1>
            <subclause1 id="a385974">
              <identifier>5.2</identifier>
              <para>
                <paratext>We also collect your personal information as follows:</paratext>
              </para>
              <subclause2 id="a123266">
                <identifier>(a)</identifier>
                <para>
                  <paratext>[DESCRIBE HOW PERSONAL INFORMATION IS COLLECTED INDIRECTLY INCLUDING FROM THIRD PARTIES].</paratext>
                </para>
              </subclause2>
            </subclause1>
            <subclause1 id="a781585">
              <identifier>5.3</identifier>
              <para>
                <paratext>[We collect your sensitive information as follows:</paratext>
              </para>
              <subclause2 id="a326185">
                <identifier>(a)</identifier>
                <para>
                  <paratext>[DESCRIBE HOW SENSITIVE INFORMATION IS COLLECTED INCLUDING THE METHODS/TECHNOLOGIES USED].]</paratext>
                </para>
              </subclause2>
            </subclause1>
          </clause>
          <clause id="a951206">
            <identifier>6.</identifier>
            <head align="left" preservecase="true">
              <headtext>How we store and hold personal information</headtext>
            </head>
            <drafting.note id="a457740" jurisdiction="">
              <head align="left" preservecase="true">
                <headtext>How we store and hold personal information</headtext>
              </head>
              <division id="a000013" level="1">
                <para>
                  <paratext>
                    <internal.reference refid="a951206">
                      <ital>Paragraph 6</ital>
                    </internal.reference>
                     should set out how the organisation holds 
                    <link href="w-003-9190" style="ACTLinkPLCtoPLC">
                      <bold>
                        <ital>personal information</ital>
                      </bold>
                    </link>
                     (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1.4(b)</ital>
                    </link>
                    ), including in what forms (electronic or physical) the information is held, where it is held and by whom (that is, the organisation or third-party service providers).
                  </paratext>
                </para>
                <para>
                  <paratext>
                    This paragraph should also specify how the organisation complies with 
                    <link href="https://anzlaw.thomsonreuters.com/Link/Document/FullText?refType=U7&amp;amp;docFamilyGuid=I2d2cd17e0f6811ecae8d91026967941e&amp;amp;pubNum=1100190&amp;amp;originationContext=document&amp;amp;transitionType=PLDocumentLink&amp;amp;ppcid=5e77694e806e4cf7ad2174a0949c5ec8&amp;amp;contextData=(sc.Default)&amp;amp;comp=plcau" style="ACTLinkURL">
                      <ital>APP 11</ital>
                    </link>
                    , which requires APP entities to take such steps as are reasonable in the circumstances to protect the information from:
                  </paratext>
                </para>
                <list type="bulleted">
                  <list.item>
                    <para>
                      <paratext>Misuse, interference and loss.</paratext>
                    </para>
                  </list.item>
                  <list.item>
                    <para>
                      <paratext>Unauthorised access, modification or disclosure.</paratext>
                    </para>
                  </list.item>
                </list>
                <para>
                  <paratext>
                    The POLA Act 2024 amended 
                    <link href="https://anzlaw.thomsonreuters.com/Link/Document/FullText?refType=U7&amp;amp;docFamilyGuid=I2d2cd17e0f6811ecae8d91026967941e&amp;amp;pubNum=1100190&amp;amp;originationContext=document&amp;amp;transitionType=PLDocumentLink&amp;amp;ppcid=5e77694e806e4cf7ad2174a0949c5ec8&amp;amp;contextData=(sc.Default)&amp;amp;comp=plcau" style="ACTLinkURL">
                      <ital>APP 11</ital>
                    </link>
                     to clarify that reasonable steps to protect information under APP 11 includes technical and organisational measures (such as encrypting data, securing access to systems and premises, and undertaking staff training) (
                    <link href="https://anzlaw.thomsonreuters.com/Link/Document/FullText?refType=U7&amp;amp;docFamilyGuid=I2d2cd17e0f6811ecae8d91026967941e&amp;amp;pubNum=1100190&amp;amp;originationContext=document&amp;amp;transitionType=PLDocumentLink&amp;amp;ppcid=5e77694e806e4cf7ad2174a0949c5ec8&amp;amp;contextData=(sc.Default)&amp;amp;comp=plcau" style="ACTLinkURL">
                      <ital>APP 11.3</ital>
                    </link>
                    ).
                  </paratext>
                </para>
                <para>
                  <paratext>
                    The decision of the Federal Court of Australia (
                    <bold>FCA</bold>
                    ) in 
                    <ital>Australian Information Commissioner v Australian Clinical Labs Ltd (No 2)</ital>
                     [2025] FCA 1224 is the first judicial consideration of the 
                    <bold>reasonable steps</bold>
                     test under APP 11. The FCA held that the scope of the steps required must be informed by the relevant circumstances, which include:
                  </paratext>
                </para>
                <list type="bulleted">
                  <list.item>
                    <para>
                      <paratext>The sensitivity of the personal information.</paratext>
                    </para>
                  </list.item>
                  <list.item>
                    <para>
                      <paratext>The potential harm to individuals if the information was accessed or disclosed.</paratext>
                    </para>
                  </list.item>
                  <list.item>
                    <para>
                      <paratext>The size and sophistication of the APP entity.</paratext>
                    </para>
                  </list.item>
                  <list.item>
                    <para>
                      <paratext>The cybersecurity environment in which the APP entity operates.</paratext>
                    </para>
                  </list.item>
                  <list.item>
                    <para>
                      <paratext>Any previous threats or cyberattacks made against the APP entity.</paratext>
                    </para>
                  </list.item>
                </list>
                <para>
                  <paratext>
                    For further analysis of this case, see 
                    <link anchor="a772570" href="w-005-3895" style="ACTLinkPLCtoPLC">
                      <ital>Practice note, Australian Privacy Principles: Meaning of reasonable steps: Australian Information Commissioner v Australian Clinical Labs Ltd</ital>
                    </link>
                    .
                  </paratext>
                </para>
                <para>
                  <paratext>
                    It is important to ensure that the information contained and representations made in this paragraph with respect to the organisation's security measures do not overstate or misrepresent the systems and measures that the organisation actually has in place. The information provided in relation to the security measures should not reveal details that would jeopardise the effectiveness of those measures. For further information on 
                    <link href="https://anzlaw.thomsonreuters.com/Link/Document/FullText?refType=U7&amp;amp;docFamilyGuid=I2d2cd17e0f6811ecae8d91026967941e&amp;amp;pubNum=1100190&amp;amp;originationContext=document&amp;amp;transitionType=PLDocumentLink&amp;amp;ppcid=5e77694e806e4cf7ad2174a0949c5ec8&amp;amp;contextData=(sc.Default)&amp;amp;comp=plcau" style="ACTLinkURL">
                      <ital>APP 11</ital>
                    </link>
                    , see 
                    <link anchor="a146496" href="w-005-3895" style="ACTLinkPLCtoPLC">
                      <ital>Practice note, Australian Privacy Principles: APP 11: Security of personal information</ital>
                    </link>
                    .
                  </paratext>
                </para>
                <para>
                  <paratext>
                    For a template data retention schedule for personal information including drafting guidance on the proper retention and disposal of personal information in accordance with the APPs, see 
                    <link href="w-024-0166" style="ACTLinkPLCtoPLC">
                      <ital>Standard document, Data retention schedule (personal information)</ital>
                    </link>
                    . See also 
                    <link href="w-024-1804" style="ACTLinkPLCtoPLC">
                      <ital>Standard document, Data retention policy</ital>
                    </link>
                    .
                  </paratext>
                </para>
              </division>
            </drafting.note>
            <subclause1 id="a500524">
              <identifier>6.1</identifier>
              <para>
                <paratext>We store most information about you in computer systems and databases operated by either us or our external service providers. Some information about you is recorded in paper files that we store securely.</paratext>
              </para>
            </subclause1>
            <subclause1 id="a341102">
              <identifier>6.2</identifier>
              <para>
                <paratext>We implement and maintain processes and security measures to protect personal information, which we hold from misuse, interference or loss, and from unauthorised access, modification or disclosure.</paratext>
              </para>
            </subclause1>
            <subclause1 id="a989476">
              <identifier>6.3</identifier>
              <para>
                <paratext>These processes and systems include the following:</paratext>
              </para>
              <subclause2 id="a739759">
                <identifier>(a)</identifier>
                <para>
                  <paratext>[The use of identity and access management technologies to control access to systems on which information is processed and stored.]</paratext>
                </para>
              </subclause2>
              <subclause2 id="a525388">
                <identifier>(b)</identifier>
                <para>
                  <paratext>[Requiring all employees to comply with internal information security policies and keep information secure.]</paratext>
                </para>
              </subclause2>
              <subclause2 id="a622323">
                <identifier>(c)</identifier>
                <para>
                  <paratext>[Requiring all employees to complete training about information security.]</paratext>
                </para>
              </subclause2>
              <subclause2 id="a745339">
                <identifier>(d)</identifier>
                <para>
                  <paratext>[Monitoring and regularly reviewing our practice against our own policies and against industry best practice.]</paratext>
                </para>
              </subclause2>
              <subclause2 id="a297164">
                <identifier>(e)</identifier>
                <para>
                  <paratext>[OTHER PRACTICES, PROCEDURES AND SYSTEMS].</paratext>
                </para>
              </subclause2>
            </subclause1>
            <subclause1 id="a914606">
              <identifier>6.4</identifier>
              <para>
                <paratext>We will also take reasonable steps to destroy or de-identify personal information once we no longer require it for the purposes for which it was collected or for any secondary purpose permitted under the APPs.</paratext>
              </para>
            </subclause1>
          </clause>
          <clause id="a469783">
            <identifier>7.</identifier>
            <head align="left" preservecase="true">
              <headtext>Disclosure of personal information to overseas recipients</headtext>
            </head>
            <drafting.note id="a133075" jurisdiction="">
              <head align="left" preservecase="true">
                <headtext>Disclosure of personal information to overseas recipients</headtext>
              </head>
              <division id="a000014" level="1">
                <para>
                  <paratext>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1.4(f)</ital>
                    </link>
                     requires that an APP privacy policy specify whether the organisation is likely to disclose 
                    <link href="w-003-9190" style="ACTLinkPLCtoPLC">
                      <bold>
                        <ital>personal information</ital>
                      </bold>
                    </link>
                     to overseas recipients.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1.4(g)</ital>
                    </link>
                     requires that, if the entity is likely to disclose personal information to overseas recipients, the APP privacy policy must specify the countries in which such recipients are likely to be located (to the extent it is practicable to do so). 
                    <internal.reference refid="a469783">
                      <ital>Paragraph 7</ital>
                    </internal.reference>
                     is included to address those requirements.
                  </paratext>
                </para>
                <para>
                  <paratext>
                    <lang val="en-AU">This requirement only applies to a </lang>
                    <bold>
                      <lang val="en-AU">likely disclosure</lang>
                    </bold>
                    <lang val="en-AU"> of personal information to an overseas recipient and does not apply to a </lang>
                    <bold>
                      <lang val="en-AU">use</lang>
                    </bold>
                    <lang val="en-AU"> of personal information by an APP entity that does not constitute a disclosure. The OAIC has provided the following examples that would be considered a use rather than a disclosure:</lang>
                  </paratext>
                </para>
                <list type="bulleted">
                  <list.item>
                    <para>
                      <paratext>
                        <lang val="en-AU">Routing personal information, in transit, through servers located outside Australia.</lang>
                      </paratext>
                    </para>
                  </list.item>
                  <list.item>
                    <para>
                      <paratext>
                        <lang val="en-AU">An entity makes personal information accessible to an overseas office of the entity (for example, a consular office).</lang>
                      </paratext>
                    </para>
                  </list.item>
                </list>
                <para>
                  <paratext>
                    (
                    <link href="https://www.oaic.gov.au/privacy/australian-privacy-principles/australian-privacy-principles-guidelines/chapter-1-app-1-open-and-transparent-management-of-personal-information" style="ACTLinkURL">
                      <ital>OAIC: Chapter 1: APP 1: Open and transparent management of personal information</ital>
                    </link>
                    .)
                  </paratext>
                </para>
                <para>
                  <paratext>An organisation must specify the countries in which overseas recipients of personal information are likely to be located unless it would be impracticable for the organisation to do so, for example, where personal information is likely to be disclosed to numerous overseas recipients and the burden of determining where those recipients are located is excessively time-consuming, costly or inconvenient in all the circumstances. However, an organisation is not excused from specifying the countries by reason only that it would be inconvenient, time-consuming or impose some cost to do so.</paratext>
                </para>
                <para>
                  <paratext>If personal information is disclosed to numerous overseas locations, an organisation could include a link in the privacy policy to a regularly updated list of those countries accessible from the organisation's website. Where it is not practicable to specify the countries, the entity could instead identify general regions (such as European Union countries).</paratext>
                </para>
                <para>
                  <paratext>
                    For further information about the privacy obligations that apply when disclosing personal information overseas, see 
                    <link anchor="a141795" href="w-005-3895" style="ACTLinkPLCtoPLC">
                      <ital>Practice note, Australian Privacy Principles: APP 8: Cross-border disclosure of personal information</ital>
                    </link>
                     and 
                    <link href="w-009-9601" style="ACTLinkPLCtoPLC">
                      <ital>Practice note, Sending personal information outside Australia</ital>
                    </link>
                    .
                  </paratext>
                </para>
              </division>
            </drafting.note>
            <subclause1 id="a777895">
              <identifier>7.1</identifier>
              <para>
                <paratext>
                  We [will 
                  <bold>OR</bold>
                   do not] disclose your personal information to recipients that are located outside Australia.
                </paratext>
              </para>
            </subclause1>
            <subclause1 id="a997556">
              <identifier>7.2</identifier>
              <para>
                <paratext>[Those recipients are likely to be located in [LIST THE COUNTRIES OR GENERAL REGIONS IN WHICH OVERSEAS RECIPIENTS ARE LIKELY TO BE LOCATED].]</paratext>
              </para>
            </subclause1>
          </clause>
          <clause id="a497519">
            <identifier>8.</identifier>
            <head align="left" preservecase="true">
              <headtext>Access to and correction of your personal information</headtext>
            </head>
            <drafting.note id="a977431" jurisdiction="">
              <head align="left" preservecase="true">
                <headtext>Access and correction of personal information</headtext>
              </head>
              <division id="a000015" level="1">
                <para>
                  <paratext>
                    <internal.reference refid="a497519">
                      <ital>Paragraph 8</ital>
                    </internal.reference>
                     satisfies the requirement under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1.4(d)</ital>
                    </link>
                     to include information about how an individual may access 
                    <link href="w-003-9190" style="ACTLinkPLCtoPLC">
                      <bold>
                        <ital>personal information</ital>
                      </bold>
                    </link>
                    <bold> </bold>
                    about the individual that is held by the entity and seek the correction of such information.
                  </paratext>
                </para>
                <para>
                  <paratext>
                    <link href="https://anzlaw.thomsonreuters.com/Link/Document/FullText?refType=U7&amp;amp;docFamilyGuid=I2d3caf990f6811ecae8d91026967941e&amp;amp;pubNum=1100190&amp;amp;originationContext=document&amp;amp;transitionType=PLDocumentLink&amp;amp;ppcid=5e77694e806e4cf7ad2174a0949c5ec8&amp;amp;contextData=(sc.Default)&amp;amp;comp=plcau" style="ACTLinkURL">
                      <ital>APP 12</ital>
                    </link>
                     requires an 
                    <link href="w-005-1626" style="ACTLinkPLCtoPLC">
                      <bold>
                        <ital>APP entity</ital>
                      </bold>
                    </link>
                     that holds personal information about an individual to give the individual access to that information on request. 
                    <link href="https://anzlaw.thomsonreuters.com/Link/Document/FullText?refType=U7&amp;amp;docFamilyGuid=I2d3caf990f6811ecae8d91026967941e&amp;amp;pubNum=1100190&amp;amp;originationContext=document&amp;amp;transitionType=PLDocumentLink&amp;amp;ppcid=5e77694e806e4cf7ad2174a0949c5ec8&amp;amp;contextData=(sc.Default)&amp;amp;comp=plcau" style="ACTLinkURL">
                      <ital>APP 12</ital>
                    </link>
                     also sets out other requirements in relation to giving access, including how access is to be given, when access can be refused, time frames for dealing with an access request and what access charges can apply.
                  </paratext>
                </para>
                <para>
                  <paratext>APP 13 requires an APP entity to, if requested by an individual, take such steps (if any) as are reasonable in the circumstances to correct an individual's personal information to ensure that, having regard to the purpose for which it is held, the information is accurate, up to date, complete, relevant and not misleading.</paratext>
                </para>
                <para>
                  <paratext>APP 13 also sets out other requirements in relation to handling correction requests including notifying third parties of the correction, providing written notice if a correction request is refused, requests to associate a statement and timeframes for dealing with a correction request.</paratext>
                </para>
                <para>
                  <paratext>
                    APP 12 and APP 13 do not stipulate formal requirements for making an access or correction request or require that a request be made in writing. An APP privacy policy may include information about any process or procedure that an organisation would like an individual to follow to lodge an access or correction request, but the organisation cannot require the individual to follow that procedure. This means that requests that are made in a different way to the procedures established by an organisation must still be handled in accordance with APPs 12 and 13 (see 
                    <link href="https://www.oaic.gov.au/privacy/australian-privacy-principles/australian-privacy-principles-guidelines/chapter-12-app-12-access-to-personal-information" style="ACTLinkURL">
                      <ital>OAIC: Chapter 12: APP 12 Access to personal information</ital>
                    </link>
                     and 
                    <link href="https://www.oaic.gov.au/privacy/australian-privacy-principles/australian-privacy-principles-guidelines/chapter-13-app-13-correction-of-personal-information" style="ACTLinkURL">
                      <ital>Chapter 13: APP 13 Correction of personal information</ital>
                    </link>
                    ).
                  </paratext>
                </para>
                <para>
                  <paratext>
                    APP 12 and APP 13 require an organisation to respond to an access or correction request within a reasonable period after the request is made. The OAIC has stated that, as a general guide, a reasonable period should not exceed 30 calendar days (
                    <link href="https://www.oaic.gov.au/privacy/australian-privacy-principles/australian-privacy-principles-guidelines/chapter-12-app-12-access-to-personal-information" style="ACTLinkURL">
                      <ital>OAIC: Chapter 12: APP 12 Access to personal information</ital>
                    </link>
                     and 
                    <link href="https://www.oaic.gov.au/privacy/australian-privacy-principles/australian-privacy-principles-guidelines/chapter-13-app-13-correction-of-personal-information" style="ACTLinkURL">
                      <ital>Chapter 13: APP 13 Correction of personal information</ital>
                    </link>
                    ). While it is not expressly required by APP 1.4(d), an organisation may wish to specify in its APP privacy policy that it will aim to respond to an access or correction request within a particular time frame (for example, 30 calendar days).
                  </paratext>
                </para>
                <para>
                  <paratext>
                    For further information on 
                    <link href="https://anzlaw.thomsonreuters.com/Link/Document/FullText?refType=U7&amp;amp;docFamilyGuid=I2d3caf990f6811ecae8d91026967941e&amp;amp;pubNum=1100190&amp;amp;originationContext=document&amp;amp;transitionType=PLDocumentLink&amp;amp;ppcid=5e77694e806e4cf7ad2174a0949c5ec8&amp;amp;contextData=(sc.Default)&amp;amp;comp=plcau" style="ACTLinkURL">
                      <ital>APP 12</ital>
                    </link>
                     and APP 13, see 
                    <ital>Practice notes</ital>
                    , 
                    <link anchor="a451069" href="w-005-3895" style="ACTLinkPLCtoPLC">
                      <ital>Australian Privacy Principles: Part 5: Access to, and correction of, personal information</ital>
                    </link>
                     and 
                    <link href="w-048-0865" style="ACTLinkPLCtoPLC">
                      <ital>Individual rights under the Privacy Act 1988 (Cth)</ital>
                    </link>
                    .
                  </paratext>
                </para>
              </division>
            </drafting.note>
            <subclause1 id="a450574">
              <identifier>8.1</identifier>
              <para>
                <paratext>
                  You have a right to request access to, or correction of, the personal information that we hold about you by contacting us. Our contact details are set out below at 
                  <internal.reference refid="a557986">
                    <ital>paragraph 10</ital>
                  </internal.reference>
                  .
                </paratext>
              </para>
            </subclause1>
            <subclause1 id="a828142">
              <identifier>8.2</identifier>
              <para>
                <paratext>
                  There are some circumstances where we may refuse your request to access or correct your personal information. If we refuse your request, we will notify you in writing of the reasons for the refusal. If you disagree with our decision, you may make a privacy complaint using the complaints procedure set out below at 
                  <internal.reference refid="a246717">
                    <ital>paragraph 9</ital>
                  </internal.reference>
                  .
                </paratext>
              </para>
            </subclause1>
            <subclause1 id="a910230">
              <identifier>8.3</identifier>
              <para>
                <paratext>If we are unable to correct your personal information, you may ask us to include a statement that you believe your personal information is inaccurate, out of date, irrelevant or misleading.</paratext>
              </para>
            </subclause1>
            <subclause1 id="a846057">
              <identifier>8.4</identifier>
              <para>
                <paratext>There is no charge for requesting access to, or correction of, your personal information, but we may require you to meet our reasonable costs in providing you with access (such as photocopying costs or costs for time spent on collating large amounts of material).</paratext>
              </para>
            </subclause1>
            <subclause1 id="a981988">
              <identifier>8.5</identifier>
              <para>
                <paratext>We will respond to your requests to access or correct personal information within a reasonable period[, which is generally within 30 days of receiving your request].</paratext>
              </para>
            </subclause1>
          </clause>
          <clause id="a246717">
            <identifier>9.</identifier>
            <head align="left" preservecase="true">
              <headtext>Privacy complaints</headtext>
            </head>
            <drafting.note id="a988898" jurisdiction="">
              <head align="left" preservecase="true">
                <headtext>Privacy complaints</headtext>
              </head>
              <division id="a000016" level="1">
                <para>
                  <paratext>
                    <internal.reference refid="a246717">
                      <ital>Paragraph 9</ital>
                    </internal.reference>
                     satisfies the requirement under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1.4(e)</ital>
                    </link>
                     to include in an APP privacy policy information about how an individual may complain about a breach of the APPs or a registered APP code (if any) that binds the organisation, and how the entity will deal with such a complaint.
                  </paratext>
                </para>
                <para>
                  <paratext>The OAIC recommends that an APP privacy policy should describe the process an organisation uses to handle complaints and the different stages in the complaint-handling process including that:</paratext>
                </para>
                <list type="bulleted">
                  <list.item>
                    <para>
                      <paratext>The complaint must be made directly to the organisation first.</paratext>
                    </para>
                  </list.item>
                  <list.item>
                    <para>
                      <paratext>
                        If the individual is dissatisfied with the organisation's response, the complaint may then be taken to a recognised external dispute resolution (
                        <bold>EDR</bold>
                        ) scheme (if the organisation is subject to a recognised EDR scheme). An EDR scheme is one that the Commissioner has recognised under the Privacy Act to handle particular privacy-related complaints for certain types of organisations (for a list of recognised EDR schemes, see 
                        <link href="https://www.oaic.gov.au/privacy/privacy-complaints/external-dispute-resolution-schemes" style="ACTLinkURL">
                          <ital>OAIC: External dispute resolution schemes</ital>
                        </link>
                        ).
                      </paratext>
                    </para>
                  </list.item>
                  <list.item>
                    <para>
                      <paratext>Last, the complaint may be taken to the OAIC.</paratext>
                    </para>
                  </list.item>
                </list>
                <para>
                  <paratext>
                    (See 
                    <link href="https://www.oaic.gov.au/privacy/privacy-guidance-for-organisations-and-government-agencies/more-guidance/guide-to-developing-an-app-privacy-policy" style="ACTLinkURL">
                      <ital>OAIC: Guide to developing an APP privacy policy</ital>
                    </link>
                    .)
                  </paratext>
                </para>
              </division>
            </drafting.note>
            <subclause1 id="a308813">
              <identifier>9.1</identifier>
              <para>
                <paratext>
                  If you have a complaint about the way in which we have handled your personal information, including in relation to your request for access or correction of your personal information, you should contact us first using the details set out below at 
                  <internal.reference refid="a557986">
                    <ital>paragraph 10</ital>
                  </internal.reference>
                  .
                </paratext>
              </para>
            </subclause1>
            <subclause1 id="a883667">
              <identifier>9.2</identifier>
              <para>
                <paratext>We will consider your complaint and determine whether it requires further investigation. We will notify you of the outcome of this investigation.</paratext>
              </para>
            </subclause1>
            <subclause1 id="a199883">
              <identifier>9.3</identifier>
              <para>
                <paratext>If you remain dissatisfied with the way in which we have handled a privacy issue, you may make a complaint to [[INSERT NAME OF ANY APPLICABLE EDR SCHEME] or] the Office of the Australian Information Commissioner (OAIC) (www.oaic.gov.au).</paratext>
              </para>
            </subclause1>
          </clause>
          <clause id="a557986">
            <identifier>10.</identifier>
            <head align="left" preservecase="true">
              <headtext>Contact details</headtext>
            </head>
            <drafting.note id="a342104" jurisdiction="">
              <head align="left" preservecase="true">
                <headtext>Contact details</headtext>
              </head>
              <division id="a000017" level="1">
                <para>
                  <paratext>
                    <internal.reference refid="a557986">
                      <ital>Paragraph 10</ital>
                    </internal.reference>
                     includes contact details for the organisation so that individuals know how to contact the organisation to make complaints or to request access to, and/or correction of, personal information held by the organisation.
                  </paratext>
                </para>
                <para>
                  <paratext>If the organisation has a nominated privacy officer, the contact details for that officer should be included. As the identity of the officer may change over time, it is common to have a dedicated email address that is monitored by the privacy officer.</paratext>
                </para>
                <para>
                  <paratext>
                    The contact details of an organisation are also one of the matters that must be notified to individuals under 
                    <link href="https://anzlaw.thomsonreuters.com/Link/Document/FullText?refType=U7&amp;amp;docFamilyGuid=I2d2cd15c0f6811ecae8d91026967941e&amp;amp;pubNum=1100190&amp;amp;originationContext=document&amp;amp;transitionType=PLDocumentLink&amp;amp;ppcid=5e77694e806e4cf7ad2174a0949c5ec8&amp;amp;contextData=(sc.Default)&amp;amp;comp=plcau" style="ACTLinkURL">
                      <ital>APP 5.2(a)</ital>
                    </link>
                    , so this paragraph also satisfies that requirement. For further information on 
                    <link href="https://anzlaw.thomsonreuters.com/Link/Document/FullText?refType=U7&amp;amp;docFamilyGuid=I2d2cd15c0f6811ecae8d91026967941e&amp;amp;pubNum=1100190&amp;amp;originationContext=document&amp;amp;transitionType=PLDocumentLink&amp;amp;ppcid=5e77694e806e4cf7ad2174a0949c5ec8&amp;amp;contextData=(sc.Default)&amp;amp;comp=plcau" style="ACTLinkURL">
                      <ital>APP 5</ital>
                    </link>
                    , see 
                    <link anchor="a418476" href="w-005-3895" style="ACTLinkPLCtoPLC">
                      <ital>Practice note, Australian Privacy Principles: APP 5: Notification of the collection of personal information</ital>
                    </link>
                    .
                  </paratext>
                </para>
              </division>
            </drafting.note>
            <subclause1 id="a476366">
              <identifier>10.1</identifier>
              <para>
                <paratext>If you have any questions, comments, requests or concerns, please contact us at:</paratext>
              </para>
            </subclause1>
            <para>
              <paratext>[ORGANISATION'S CONTACT DETAILS].</paratext>
            </para>
          </clause>
          <clause id="a568092">
            <identifier>11.</identifier>
            <head align="left" preservecase="true">
              <headtext>Changes to this policy</headtext>
            </head>
            <drafting.note id="a600296" jurisdiction="">
              <head align="left" preservecase="true">
                <headtext>Changes to the policy</headtext>
              </head>
              <division id="a000018" level="1">
                <para>
                  <paratext>
                    <internal.reference refid="a568092">
                      <ital>Paragraph 11</ital>
                    </internal.reference>
                     of the privacy policy reflects the fact that 
                    <link href="https://anzlaw.thomsonreuters.com/Link/Document/FullText?refType=U7&amp;amp;docFamilyGuid=I2d2138620f6811ecae8d91026967941e&amp;amp;pubNum=1100190&amp;amp;originationContext=document&amp;amp;transitionType=PLDocumentLink&amp;amp;ppcid=5e77694e806e4cf7ad2174a0949c5ec8&amp;amp;contextData=(sc.Default)&amp;amp;comp=plcau" style="ACTLinkURL">
                      <ital>APP 1.3</ital>
                    </link>
                     requires the organisation to have an up-to-date APP privacy policy, and therefore changes may be required from time to time.
                  </paratext>
                </para>
                <para>
                  <paratext>An organisation should regularly review its privacy policy to ensure that the policy accurately reflects the organisation's personal information handling practices.</paratext>
                </para>
                <para>
                  <paratext>The OAIC recommends that, at a minimum, an organisation's privacy policy should be reviewed yearly, as part of annual planning processes. The following events should all be considered as a trigger for review:</paratext>
                </para>
                <list type="bulleted">
                  <list.item>
                    <para>
                      <paratext>Changes in business processes relating to interactions with customers.</paratext>
                    </para>
                  </list.item>
                  <list.item>
                    <para>
                      <paratext>Introduction of new products and services.</paratext>
                    </para>
                  </list.item>
                  <list.item>
                    <para>
                      <paratext>Engaging with new service providers or business partners.</paratext>
                    </para>
                  </list.item>
                  <list.item>
                    <para>
                      <paratext>Changes in marketing strategies.</paratext>
                    </para>
                  </list.item>
                </list>
                <para>
                  <paratext>
                    For more information, see 
                    <link href="https://www.oaic.gov.au/privacy/australian-privacy-principles/australian-privacy-principles-guidelines/chapter-1-app-1-open-and-transparent-management-of-personal-information" style="ACTLinkURL">
                      <ital>OAIC: Chapter 1: APP 1 Open and transparent management of personal information</ital>
                    </link>
                    .
                  </paratext>
                </para>
              </division>
            </drafting.note>
            <subclause1 id="a873108">
              <identifier>11.1</identifier>
              <para>
                <paratext>From time to time, we may update this privacy policy to reflect changes to how we handle personal information or the types of personal information that we hold. Any changes to this policy will be published on our website.</paratext>
              </para>
            </subclause1>
            <subclause1 id="a640919">
              <identifier>11.2</identifier>
              <para>
                <paratext>
                  You may obtain a copy of the current policy from our website or by contacting us at the contact details above set out in 
                  <internal.reference refid="a557986">
                    <ital>paragraph 10</ital>
                  </internal.reference>
                  .
                </paratext>
              </para>
            </subclause1>
          </clause>
        </operative>
      </body>
      <rev.history>
        <rev.item>
          <rev.title>Additional commentary and resource links (May 2026)</rev.title>
          <rev.date>20260420</rev.date>
          <rev.author>Practical Law Data Privacy and Cybersecurity</rev.author>
          <rev.body>
            <division id="a000001" level="1">
              <para>
                <paratext>Updated to include additional information, commentary and links to Practical Law resources. General review and updates for content optimisation.</paratext>
              </para>
            </division>
          </rev.body>
        </rev.item>
        <rev.item>
          <rev.title>Amendments to consent guidance (July 2025)</rev.title>
          <rev.date>20250716</rev.date>
          <rev.author>Practical Law Commercial</rev.author>
          <rev.body>
            <division id="a000002" level="1">
              <para>
                <paratext>
                  Updated 
                  <internal.reference refid="a984611">
                    <ital>Drafting note, Privacy policies and consent</ital>
                  </internal.reference>
                   to emphasise and clarify that an organisation's privacy policy is primarily a transparency mechanism regarding an entity's personal information handling practices in accordance with the 
                  <ital>Privacy Act 1988</ital>
                   (Cth) and any purported attempt to obtain the consent of an individual to the collection and handling of personal information through a Privacy policy will not generally be sufficient to satisfy the key elements for valid consent.
                </paratext>
              </para>
            </division>
          </rev.body>
        </rev.item>
        <rev.item>
          <rev.title>Amendments to reflect the passing of the Privacy and Other Legislation Amendment Act 2024 (Cth) (January 2025)</rev.title>
          <rev.date>20250121</rev.date>
          <rev.author>Practical Law Commercial</rev.author>
          <rev.body>
            <division id="a000003" level="1">
              <para>
                <paratext>
                  Added 
                  <internal.reference refid="a493946">
                    <ital>Drafting note, Penalties for non-compliance with APP privacy policy requirements</ital>
                  </internal.reference>
                  ; 
                  <internal.reference refid="a364822">
                    <ital>Drafting note, APP privacy policy requirements for automated decisions (commencement date December 2026)</ital>
                  </internal.reference>
                  ; and updated existing 
                  <internal.reference refid="a133075">
                    <ital>Drafting note, Disclosure of personal information to overseas recipients</ital>
                  </internal.reference>
                   and 
                  <internal.reference refid="a457740">
                    <ital>Drafting note, How we store and hold personal information</ital>
                  </internal.reference>
                   to reflect the commencement of the 
                  <ital>Privacy and Other Legislation Amendment Act 2024</ital>
                   (Cth) on 10 December 2024.
                </paratext>
              </para>
            </division>
          </rev.body>
        </rev.item>
        <rev.item>
          <rev.title>Commissioner Initiated Investigation into 7-Eleven Stores Pty Ltd (Privacy) [2021] AICmr 50 (October 2021)</rev.title>
          <rev.date>20211029</rev.date>
          <rev.author>Practical Law Commercial </rev.author>
          <rev.body>
            <division id="a000004" level="1">
              <para>
                <paratext>
                  Updated 
                  <internal.reference refid="a255762">
                    <ital>Drafting note, Privacy collection statement</ital>
                  </internal.reference>
                   to refer to the Australian Information Commissioner and Privacy Commissioner's determination in 
                  <link href="https://www.oaic.gov.au/__data/assets/pdf_file/0021/10686/Commissioner-initiated-investigation-into-Eleven-Stores-Pty-Ltd-Privacy.pdf" style="ACTLinkURL">
                    <ital>Commissioner Initiated Investigation into 7-Eleven Stores Pty Ltd (Privacy) [2021] AICmr 50</ital>
                  </link>
                  .
                </paratext>
              </para>
            </division>
          </rev.body>
        </rev.item>
        <rev.item>
          <rev.title>Spam Regulations 2021 (Cth) (September 2021)</rev.title>
          <rev.date>20210929</rev.date>
          <rev.author>Practical Law Commercial</rev.author>
          <rev.body>
            <division id="a000005" level="1">
              <para>
                <paratext>
                  Updated 
                  <internal.reference refid="a325661">
                    <ital>Drafting note, About this document</ital>
                  </internal.reference>
                   and 
                  <internal.reference refid="a984611">
                    <ital>Drafting note, Privacy policies and consent</ital>
                  </internal.reference>
                   to refer to the 
                  <ital>Spam Regulations 2021</ital>
                   (Cth) and 
                  <link href="w-032-7730" style="ACTLinkPLCtoPLC">
                    <ital>Article, Are your electronic business marketing communications compliant with the Spam Regulations 2021 (Cth)?</ital>
                  </link>
                  .
                </paratext>
              </para>
            </division>
          </rev.body>
        </rev.item>
        <rev.item>
          <rev.title>Commissioner Initiated Investigation into Uber Technologies, Inc. &amp; Uber B.V. (Privacy) [2021] AICmr 34 (August 2021)</rev.title>
          <rev.date>20210812</rev.date>
          <rev.author>Practical Law Commercial </rev.author>
          <rev.body>
            <division id="a000006" level="1">
              <para>
                <paratext>
                  Updated 
                  <internal.reference refid="a457740">
                    <ital>Drafting note, How we store and hold personal information</ital>
                  </internal.reference>
                   to refer to the Australian Information Commissioner and Privacy Commissioner's determination in 
                  <link href="https://www.oaic.gov.au/privacy/privacy-decisions/privacy-determinations/?keyword=Uber&amp;amp;showAll=1" style="ACTLinkURL">
                    <ital>Commissioner Initiated Investigation into Uber Technologies, Inc. &amp; Uber B.V. (Privacy) [2021] AICmr 34</ital>
                  </link>
                  .
                </paratext>
              </para>
            </division>
          </rev.body>
        </rev.item>
      </rev.history>
    </standard.doc>
  </n-docbody>
</n-document>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dm:cachedDataManifest xmlns:cdm="http://schemas.microsoft.com/2004/VisualStudio/Tools/Applications/CachedDataManifest.xsd" cdm:revision="1"/>
</file>

<file path=customXml/item5.xml><?xml version="1.0" encoding="utf-8"?>
<ct:contentTypeSchema xmlns:ct="http://schemas.microsoft.com/office/2006/metadata/contentType" xmlns:ma="http://schemas.microsoft.com/office/2006/metadata/properties/metaAttributes" ct:_="" ma:_="" ma:contentTypeDescription="Create a new document." ma:contentTypeID="0x010100D563F8D737A44344A5235BEC48E15E71" ma:contentTypeName="Document" ma:contentTypeScope="" ma:contentTypeVersion="10" ma:versionID="d87d1c96c27978fc956acf7d415edb37">
  <xsd:schema xmlns:xsd="http://www.w3.org/2001/XMLSchema" xmlns:ns3="3e11f8a2-9b33-4d05-a1dd-006d3d343827" xmlns:ns4="9980fc04-e005-4dfd-821f-5d929a44f5ff" xmlns:p="http://schemas.microsoft.com/office/2006/metadata/properties" xmlns:xs="http://www.w3.org/2001/XMLSchema" ma:fieldsID="fdcf58995a061474288fbe84d54233ee" ma:root="true" ns3:_="" ns4:_="" targetNamespace="http://schemas.microsoft.com/office/2006/metadata/properties">
    <xsd:import namespace="3e11f8a2-9b33-4d05-a1dd-006d3d343827"/>
    <xsd:import namespace="9980fc04-e005-4dfd-821f-5d929a44f5ff"/>
    <xsd:element name="properties">
      <xsd:complexType>
        <xsd:sequence>
          <xsd:element name="documentManagement">
            <xsd:complexType>
              <xsd:all>
                <xsd:element minOccurs="0" ref="ns3:MediaServiceMetadata"/>
                <xsd:element minOccurs="0" ref="ns3:MediaServiceFastMetadata"/>
                <xsd:element minOccurs="0" ref="ns3:MediaServiceDateTaken"/>
                <xsd:element minOccurs="0" ref="ns3:MediaServiceAutoTags"/>
                <xsd:element minOccurs="0" ref="ns3:MediaServiceOCR"/>
                <xsd:element minOccurs="0" ref="ns4:SharedWithUsers"/>
                <xsd:element minOccurs="0" ref="ns4:SharedWithDetails"/>
                <xsd:element minOccurs="0" ref="ns4:SharingHintHash"/>
                <xsd:element minOccurs="0" ref="ns3:MediaServiceAutoKeyPoints"/>
                <xsd:element minOccurs="0" ref="ns3:MediaServiceKeyPoin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3e11f8a2-9b33-4d05-a1dd-006d3d343827">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MediaServiceAuto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AutoKeyPoints" ma:hidden="true" ma:index="16" ma:internalName="MediaServiceAutoKeyPoints" ma:readOnly="true" name="MediaServiceAutoKeyPoints" nillable="true">
      <xsd:simpleType>
        <xsd:restriction base="dms:Note"/>
      </xsd:simpleType>
    </xsd:element>
    <xsd:element ma:displayName="KeyPoints" ma:index="17"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9980fc04-e005-4dfd-821f-5d929a44f5ff">
    <xsd:import namespace="http://schemas.microsoft.com/office/2006/documentManagement/types"/>
    <xsd:import namespace="http://schemas.microsoft.com/office/infopath/2007/PartnerControls"/>
    <xsd:element ma:displayName="Shared With" ma:index="13"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4" ma:internalName="SharedWithDetails" ma:readOnly="true" name="SharedWithDetails" nillable="true">
      <xsd:simpleType>
        <xsd:restriction base="dms:Note">
          <xsd:maxLength value="255"/>
        </xsd:restriction>
      </xsd:simpleType>
    </xsd:element>
    <xsd:element ma:displayName="Sharing Hint Hash" ma:hidden="true" ma:index="15" ma:internalName="SharingHintHash" ma:readOnly="true" name="SharingHintHash"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6C6561E3-B625-4DBC-8FF7-EDEDB8D4F394}">
  <ds:schemaRefs>
    <ds:schemaRef ds:uri="http://www.w3.org/2001/XMLSchema"/>
  </ds:schemaRefs>
</ds:datastoreItem>
</file>

<file path=customXml/itemProps2.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3.xml><?xml version="1.0" encoding="utf-8"?>
<ds:datastoreItem xmlns:ds="http://schemas.openxmlformats.org/officeDocument/2006/customXml" ds:itemID="{1D64AF42-ED7D-4292-A8F2-0A229DB44223}">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5.xml><?xml version="1.0" encoding="utf-8"?>
<ds:datastoreItem xmlns:ds="http://schemas.openxmlformats.org/officeDocument/2006/customXml" ds:itemID="{61A43560-C226-4F13-9134-E45160275793}">
  <ds:schemaRefs>
    <ds:schemaRef ds:uri="http://schemas.microsoft.com/office/2006/metadata/contentType"/>
    <ds:schemaRef ds:uri="http://schemas.microsoft.com/office/2006/metadata/properties/metaAttributes"/>
    <ds:schemaRef ds:uri="http://www.w3.org/2001/XMLSchema"/>
    <ds:schemaRef ds:uri="3e11f8a2-9b33-4d05-a1dd-006d3d343827"/>
    <ds:schemaRef ds:uri="9980fc04-e005-4dfd-821f-5d929a44f5f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80B78EF-291D-447B-A856-CCC82ECFF92C}">
  <ds:schemaRefs>
    <ds:schemaRef ds:uri="http://schemas.microsoft.com/sharepoint/v3/contenttype/forms"/>
  </ds:schemaRefs>
</ds:datastoreItem>
</file>

<file path=customXml/itemProps7.xml><?xml version="1.0" encoding="utf-8"?>
<ds:datastoreItem xmlns:ds="http://schemas.openxmlformats.org/officeDocument/2006/customXml" ds:itemID="{8BF807A6-04C8-460F-AAD0-4B5BC51EC6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GentTemplate_AUTemplate.dotm</Template>
  <TotalTime>13898</TotalTime>
  <Pages>6</Pages>
  <Words>9480</Words>
  <Characters>53189</Characters>
  <Application>Microsoft Office Word</Application>
  <DocSecurity>0</DocSecurity>
  <Lines>901</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 Episap privacy policy.</dc:title>
  <dc:creator>Episap</dc:creator>
  <cp:lastModifiedBy>Episap</cp:lastModifiedBy>
  <cp:revision>227</cp:revision>
  <cp:lastPrinted>2019-11-26T22:49:00Z</cp:lastPrinted>
  <dcterms:created xsi:type="dcterms:W3CDTF">2016-12-16T05:00:00Z</dcterms:created>
  <dcterms:modified xsi:type="dcterms:W3CDTF">2026-06-19T04:33:00Z</dcterms:modified>
</cp:coreProperties>
</file>