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4.12.0.0 -->
  <w:body>
    <w:p w:rsidR="004F662A" w:rsidRPr="002109ED" w:rsidP="008E30E0">
      <w:pPr>
        <w:pStyle w:val="Paragraph"/>
        <w:shd w:val="clear" w:color="auto" w:fill="auto"/>
        <w:jc w:val="left"/>
        <w:outlineLvl w:val="9"/>
        <w:rPr>
          <w:color w:val="000000"/>
        </w:rPr>
        <w:sectPr w:rsidSect="004F662A">
          <w:type w:val="continuous"/>
          <w:pgSz w:w="11907" w:h="16840"/>
          <w:pgMar w:top="720" w:right="720" w:bottom="720" w:left="720" w:header="720" w:footer="720" w:gutter="0"/>
          <w:pgNumType w:start="1"/>
          <w:cols w:space="720"/>
          <w:docGrid w:linePitch="299"/>
        </w:sectPr>
      </w:pPr>
      <w:r>
        <w:t>Document title: Episap Software as a Service agreement.</w:t>
      </w:r>
    </w:p>
    <w:p w:rsidR="004F662A" w:rsidP="008E30E0">
      <w:pPr>
        <w:pStyle w:val="CoversheetParty"/>
        <w:shd w:val="clear" w:color="auto" w:fill="auto"/>
        <w:jc w:val="left"/>
        <w:outlineLvl w:val="9"/>
        <w:rPr>
          <w:color w:val="000000"/>
        </w:rPr>
        <w:sectPr w:rsidSect="004F662A">
          <w:type w:val="nextPage"/>
          <w:pgSz w:w="11907" w:h="16840"/>
          <w:pgMar w:top="720" w:right="720" w:bottom="720" w:left="720" w:header="720" w:footer="720" w:gutter="0"/>
          <w:pgNumType w:start="1"/>
          <w:cols w:space="720"/>
          <w:docGrid w:linePitch="299"/>
        </w:sectPr>
      </w:pPr>
      <w:r/>
    </w:p>
    <w:p w:rsidR="004F662A" w:rsidP="008E30E0">
      <w:pPr>
        <w:pStyle w:val="HeadingLevel2"/>
        <w:shd w:val="clear" w:color="auto" w:fill="auto"/>
        <w:outlineLvl w:val="9"/>
        <w:rPr>
          <w:color w:val="000000"/>
        </w:rPr>
      </w:pPr>
      <w:r>
        <w:t>CONTENTS</w:t>
      </w:r>
    </w:p>
    <w:p w:rsidR="004F662A" w:rsidP="008E30E0">
      <w:pPr>
        <w:pStyle w:val="HeadingLevel2"/>
        <w:shd w:val="clear" w:color="auto" w:fill="auto"/>
        <w:outlineLvl w:val="9"/>
        <w:rPr>
          <w:color w:val="000000"/>
        </w:rPr>
      </w:pPr>
      <w:r>
        <w:t>____________________________________________________________</w:t>
      </w:r>
    </w:p>
    <w:p w:rsidR="004F662A" w:rsidP="008E30E0">
      <w:pPr>
        <w:pStyle w:val="HeadingLevel2"/>
        <w:shd w:val="clear" w:color="auto" w:fill="auto"/>
        <w:outlineLvl w:val="9"/>
        <w:rPr>
          <w:color w:val="000000"/>
        </w:rPr>
      </w:pPr>
      <w:r>
        <w:t>CLAUSE</w:t>
      </w:r>
    </w:p>
    <w:p>
      <w:pPr>
        <w:pStyle w:val="TOC1"/>
        <w:tabs>
          <w:tab w:val="left" w:pos="440"/>
          <w:tab w:val="right" w:leader="dot" w:pos="10457"/>
        </w:tabs>
        <w:rPr>
          <w:rFonts w:asciiTheme="minorHAnsi" w:hAnsiTheme="minorHAnsi"/>
          <w:noProof/>
          <w:sz w:val="22"/>
        </w:rPr>
      </w:pPr>
      <w:r>
        <w:t>1. Definitions and interpretation 1</w:t>
      </w:r>
    </w:p>
    <w:p>
      <w:pPr>
        <w:pStyle w:val="TOC1"/>
        <w:tabs>
          <w:tab w:val="left" w:pos="440"/>
          <w:tab w:val="right" w:leader="dot" w:pos="10457"/>
        </w:tabs>
        <w:rPr>
          <w:rFonts w:asciiTheme="minorHAnsi" w:hAnsiTheme="minorHAnsi"/>
          <w:noProof/>
          <w:sz w:val="22"/>
        </w:rPr>
      </w:pPr>
      <w:r>
        <w:t>2. Access and use 6</w:t>
      </w:r>
    </w:p>
    <w:p>
      <w:pPr>
        <w:pStyle w:val="TOC1"/>
        <w:tabs>
          <w:tab w:val="left" w:pos="440"/>
          <w:tab w:val="right" w:leader="dot" w:pos="10457"/>
        </w:tabs>
        <w:rPr>
          <w:rFonts w:asciiTheme="minorHAnsi" w:hAnsiTheme="minorHAnsi"/>
          <w:noProof/>
          <w:sz w:val="22"/>
        </w:rPr>
      </w:pPr>
      <w:r>
        <w:t>3. Customer responsibilities 8</w:t>
      </w:r>
    </w:p>
    <w:p>
      <w:pPr>
        <w:pStyle w:val="TOC1"/>
        <w:tabs>
          <w:tab w:val="left" w:pos="440"/>
          <w:tab w:val="right" w:leader="dot" w:pos="10457"/>
        </w:tabs>
        <w:rPr>
          <w:rFonts w:asciiTheme="minorHAnsi" w:hAnsiTheme="minorHAnsi"/>
          <w:noProof/>
          <w:sz w:val="22"/>
        </w:rPr>
      </w:pPr>
      <w:r>
        <w:t>4. Service Levels and Support Services 8</w:t>
      </w:r>
    </w:p>
    <w:p>
      <w:pPr>
        <w:pStyle w:val="TOC1"/>
        <w:tabs>
          <w:tab w:val="left" w:pos="440"/>
          <w:tab w:val="right" w:leader="dot" w:pos="10457"/>
        </w:tabs>
        <w:rPr>
          <w:rFonts w:asciiTheme="minorHAnsi" w:hAnsiTheme="minorHAnsi"/>
          <w:noProof/>
          <w:sz w:val="22"/>
        </w:rPr>
      </w:pPr>
      <w:r>
        <w:t>5. Fees and payment 9</w:t>
      </w:r>
    </w:p>
    <w:p>
      <w:pPr>
        <w:pStyle w:val="TOC1"/>
        <w:tabs>
          <w:tab w:val="left" w:pos="440"/>
          <w:tab w:val="right" w:leader="dot" w:pos="10457"/>
        </w:tabs>
        <w:rPr>
          <w:rFonts w:asciiTheme="minorHAnsi" w:hAnsiTheme="minorHAnsi"/>
          <w:noProof/>
          <w:sz w:val="22"/>
        </w:rPr>
      </w:pPr>
      <w:r>
        <w:t>6. Goods and services tax 9</w:t>
      </w:r>
    </w:p>
    <w:p>
      <w:pPr>
        <w:pStyle w:val="TOC1"/>
        <w:tabs>
          <w:tab w:val="left" w:pos="440"/>
          <w:tab w:val="right" w:leader="dot" w:pos="10457"/>
        </w:tabs>
        <w:rPr>
          <w:rFonts w:asciiTheme="minorHAnsi" w:hAnsiTheme="minorHAnsi"/>
          <w:noProof/>
          <w:sz w:val="22"/>
        </w:rPr>
      </w:pPr>
      <w:r>
        <w:t>7. Confidential Information 10</w:t>
      </w:r>
    </w:p>
    <w:p>
      <w:pPr>
        <w:pStyle w:val="TOC1"/>
        <w:tabs>
          <w:tab w:val="left" w:pos="440"/>
          <w:tab w:val="right" w:leader="dot" w:pos="10457"/>
        </w:tabs>
        <w:rPr>
          <w:rFonts w:asciiTheme="minorHAnsi" w:hAnsiTheme="minorHAnsi"/>
          <w:noProof/>
          <w:sz w:val="22"/>
        </w:rPr>
      </w:pPr>
      <w:r>
        <w:t>8. Intellectual property 10</w:t>
      </w:r>
    </w:p>
    <w:p>
      <w:pPr>
        <w:pStyle w:val="TOC1"/>
        <w:tabs>
          <w:tab w:val="left" w:pos="440"/>
          <w:tab w:val="right" w:leader="dot" w:pos="10457"/>
        </w:tabs>
        <w:rPr>
          <w:rFonts w:asciiTheme="minorHAnsi" w:hAnsiTheme="minorHAnsi"/>
          <w:noProof/>
          <w:sz w:val="22"/>
        </w:rPr>
      </w:pPr>
      <w:r>
        <w:t>9. Warranties 11</w:t>
      </w:r>
    </w:p>
    <w:p>
      <w:pPr>
        <w:pStyle w:val="TOC1"/>
        <w:tabs>
          <w:tab w:val="left" w:pos="660"/>
          <w:tab w:val="right" w:leader="dot" w:pos="10457"/>
        </w:tabs>
        <w:rPr>
          <w:rFonts w:asciiTheme="minorHAnsi" w:hAnsiTheme="minorHAnsi"/>
          <w:noProof/>
          <w:sz w:val="22"/>
        </w:rPr>
      </w:pPr>
      <w:r>
        <w:t>10. Indemnity 12</w:t>
      </w:r>
    </w:p>
    <w:p>
      <w:pPr>
        <w:pStyle w:val="TOC1"/>
        <w:tabs>
          <w:tab w:val="left" w:pos="660"/>
          <w:tab w:val="right" w:leader="dot" w:pos="10457"/>
        </w:tabs>
        <w:rPr>
          <w:rFonts w:asciiTheme="minorHAnsi" w:hAnsiTheme="minorHAnsi"/>
          <w:noProof/>
          <w:sz w:val="22"/>
        </w:rPr>
      </w:pPr>
      <w:r>
        <w:t>11. Limitation of liability 13</w:t>
      </w:r>
    </w:p>
    <w:p>
      <w:pPr>
        <w:pStyle w:val="TOC1"/>
        <w:tabs>
          <w:tab w:val="left" w:pos="660"/>
          <w:tab w:val="right" w:leader="dot" w:pos="10457"/>
        </w:tabs>
        <w:rPr>
          <w:rFonts w:asciiTheme="minorHAnsi" w:hAnsiTheme="minorHAnsi"/>
          <w:noProof/>
          <w:sz w:val="22"/>
        </w:rPr>
      </w:pPr>
      <w:r>
        <w:t>12. Term and termination 15</w:t>
      </w:r>
    </w:p>
    <w:p>
      <w:pPr>
        <w:pStyle w:val="TOC1"/>
        <w:tabs>
          <w:tab w:val="left" w:pos="660"/>
          <w:tab w:val="right" w:leader="dot" w:pos="10457"/>
        </w:tabs>
        <w:rPr>
          <w:rFonts w:asciiTheme="minorHAnsi" w:hAnsiTheme="minorHAnsi"/>
          <w:noProof/>
          <w:sz w:val="22"/>
        </w:rPr>
      </w:pPr>
      <w:r>
        <w:t>13. Privacy and data protection 16</w:t>
      </w:r>
    </w:p>
    <w:p>
      <w:pPr>
        <w:pStyle w:val="TOC1"/>
        <w:tabs>
          <w:tab w:val="left" w:pos="660"/>
          <w:tab w:val="right" w:leader="dot" w:pos="10457"/>
        </w:tabs>
        <w:rPr>
          <w:rFonts w:asciiTheme="minorHAnsi" w:hAnsiTheme="minorHAnsi"/>
          <w:noProof/>
          <w:sz w:val="22"/>
        </w:rPr>
      </w:pPr>
      <w:r>
        <w:t>14. Notices 18</w:t>
      </w:r>
    </w:p>
    <w:p>
      <w:pPr>
        <w:pStyle w:val="TOC1"/>
        <w:tabs>
          <w:tab w:val="left" w:pos="660"/>
          <w:tab w:val="right" w:leader="dot" w:pos="10457"/>
        </w:tabs>
        <w:rPr>
          <w:rFonts w:asciiTheme="minorHAnsi" w:hAnsiTheme="minorHAnsi"/>
          <w:noProof/>
          <w:sz w:val="22"/>
        </w:rPr>
      </w:pPr>
      <w:r>
        <w:t>15. General 19</w:t>
      </w:r>
    </w:p>
    <w:p w:rsidR="004F662A" w:rsidP="008E30E0">
      <w:pPr>
        <w:pStyle w:val="HeadingLevel2"/>
        <w:shd w:val="clear" w:color="auto" w:fill="auto"/>
        <w:outlineLvl w:val="9"/>
        <w:rPr>
          <w:color w:val="000000"/>
        </w:rPr>
      </w:pPr>
      <w:r/>
    </w:p>
    <w:p w:rsidR="004F662A" w:rsidP="008E30E0">
      <w:pPr>
        <w:pStyle w:val="HeadingLevel2"/>
        <w:shd w:val="clear" w:color="auto" w:fill="auto"/>
        <w:outlineLvl w:val="9"/>
        <w:rPr>
          <w:color w:val="000000"/>
        </w:rPr>
      </w:pPr>
      <w:r>
        <w:t>SCHEDULE</w:t>
      </w:r>
    </w:p>
    <w:p>
      <w:pPr>
        <w:pStyle w:val="TOC1"/>
        <w:tabs>
          <w:tab w:val="left" w:pos="1540"/>
          <w:tab w:val="right" w:leader="dot" w:pos="10457"/>
        </w:tabs>
        <w:rPr>
          <w:rFonts w:asciiTheme="minorHAnsi" w:hAnsiTheme="minorHAnsi"/>
          <w:noProof/>
          <w:sz w:val="22"/>
        </w:rPr>
      </w:pPr>
      <w:r>
        <w:t>Schedule 1 Agreement details 23</w:t>
      </w:r>
    </w:p>
    <w:p>
      <w:pPr>
        <w:pStyle w:val="TOC1"/>
        <w:tabs>
          <w:tab w:val="left" w:pos="880"/>
          <w:tab w:val="right" w:leader="dot" w:pos="10457"/>
        </w:tabs>
        <w:rPr>
          <w:rFonts w:asciiTheme="minorHAnsi" w:hAnsiTheme="minorHAnsi"/>
          <w:noProof/>
          <w:sz w:val="22"/>
        </w:rPr>
      </w:pPr>
      <w:r>
        <w:t>Part 1 Commencement Date 23</w:t>
      </w:r>
    </w:p>
    <w:p>
      <w:pPr>
        <w:pStyle w:val="TOC1"/>
        <w:tabs>
          <w:tab w:val="left" w:pos="880"/>
          <w:tab w:val="right" w:leader="dot" w:pos="10457"/>
        </w:tabs>
        <w:rPr>
          <w:rFonts w:asciiTheme="minorHAnsi" w:hAnsiTheme="minorHAnsi"/>
          <w:noProof/>
          <w:sz w:val="22"/>
        </w:rPr>
      </w:pPr>
      <w:r>
        <w:t>Part 2 Fees 23</w:t>
      </w:r>
    </w:p>
    <w:p>
      <w:pPr>
        <w:pStyle w:val="TOC1"/>
        <w:tabs>
          <w:tab w:val="left" w:pos="880"/>
          <w:tab w:val="right" w:leader="dot" w:pos="10457"/>
        </w:tabs>
        <w:rPr>
          <w:rFonts w:asciiTheme="minorHAnsi" w:hAnsiTheme="minorHAnsi"/>
          <w:noProof/>
          <w:sz w:val="22"/>
        </w:rPr>
      </w:pPr>
      <w:r>
        <w:t>Part 3 Number of Authorised Users 23</w:t>
      </w:r>
    </w:p>
    <w:p>
      <w:pPr>
        <w:pStyle w:val="TOC1"/>
        <w:tabs>
          <w:tab w:val="left" w:pos="880"/>
          <w:tab w:val="right" w:leader="dot" w:pos="10457"/>
        </w:tabs>
        <w:rPr>
          <w:rFonts w:asciiTheme="minorHAnsi" w:hAnsiTheme="minorHAnsi"/>
          <w:noProof/>
          <w:sz w:val="22"/>
        </w:rPr>
      </w:pPr>
      <w:r>
        <w:t>Part 4 Services 23</w:t>
      </w:r>
    </w:p>
    <w:p>
      <w:pPr>
        <w:pStyle w:val="TOC1"/>
        <w:tabs>
          <w:tab w:val="left" w:pos="880"/>
          <w:tab w:val="right" w:leader="dot" w:pos="10457"/>
        </w:tabs>
        <w:rPr>
          <w:rFonts w:asciiTheme="minorHAnsi" w:hAnsiTheme="minorHAnsi"/>
          <w:noProof/>
          <w:sz w:val="22"/>
        </w:rPr>
      </w:pPr>
      <w:r>
        <w:t>Part 5 Third-Party Products 23</w:t>
      </w:r>
    </w:p>
    <w:p>
      <w:pPr>
        <w:pStyle w:val="TOC1"/>
        <w:tabs>
          <w:tab w:val="left" w:pos="1540"/>
          <w:tab w:val="right" w:leader="dot" w:pos="10457"/>
        </w:tabs>
        <w:rPr>
          <w:rFonts w:asciiTheme="minorHAnsi" w:hAnsiTheme="minorHAnsi"/>
          <w:noProof/>
          <w:sz w:val="22"/>
        </w:rPr>
      </w:pPr>
      <w:r>
        <w:t>Schedule 2 Policies 24</w:t>
      </w:r>
    </w:p>
    <w:p>
      <w:pPr>
        <w:pStyle w:val="TOC1"/>
        <w:tabs>
          <w:tab w:val="left" w:pos="880"/>
          <w:tab w:val="right" w:leader="dot" w:pos="10457"/>
        </w:tabs>
        <w:rPr>
          <w:rFonts w:asciiTheme="minorHAnsi" w:hAnsiTheme="minorHAnsi"/>
          <w:noProof/>
          <w:sz w:val="22"/>
        </w:rPr>
      </w:pPr>
      <w:r>
        <w:t>Part 1 Privacy Policy 24</w:t>
      </w:r>
    </w:p>
    <w:p>
      <w:pPr>
        <w:pStyle w:val="TOC1"/>
        <w:tabs>
          <w:tab w:val="left" w:pos="880"/>
          <w:tab w:val="right" w:leader="dot" w:pos="10457"/>
        </w:tabs>
        <w:rPr>
          <w:rFonts w:asciiTheme="minorHAnsi" w:hAnsiTheme="minorHAnsi"/>
          <w:noProof/>
          <w:sz w:val="22"/>
        </w:rPr>
      </w:pPr>
      <w:r>
        <w:t>Part 2 Security Measures 24</w:t>
      </w:r>
    </w:p>
    <w:p>
      <w:pPr>
        <w:pStyle w:val="TOC1"/>
        <w:tabs>
          <w:tab w:val="left" w:pos="1540"/>
          <w:tab w:val="right" w:leader="dot" w:pos="10457"/>
        </w:tabs>
        <w:rPr>
          <w:rFonts w:asciiTheme="minorHAnsi" w:hAnsiTheme="minorHAnsi"/>
          <w:noProof/>
          <w:sz w:val="22"/>
        </w:rPr>
      </w:pPr>
      <w:r>
        <w:t>Schedule 3 Service Levels 25</w:t>
      </w:r>
    </w:p>
    <w:p>
      <w:pPr>
        <w:pStyle w:val="TOC1"/>
        <w:tabs>
          <w:tab w:val="left" w:pos="440"/>
          <w:tab w:val="right" w:leader="dot" w:pos="10457"/>
        </w:tabs>
        <w:rPr>
          <w:rFonts w:asciiTheme="minorHAnsi" w:hAnsiTheme="minorHAnsi"/>
          <w:noProof/>
          <w:sz w:val="22"/>
        </w:rPr>
      </w:pPr>
      <w:r>
        <w:t>1. Definitions 25</w:t>
      </w:r>
    </w:p>
    <w:p>
      <w:pPr>
        <w:pStyle w:val="TOC1"/>
        <w:tabs>
          <w:tab w:val="left" w:pos="440"/>
          <w:tab w:val="right" w:leader="dot" w:pos="10457"/>
        </w:tabs>
        <w:rPr>
          <w:rFonts w:asciiTheme="minorHAnsi" w:hAnsiTheme="minorHAnsi"/>
          <w:noProof/>
          <w:sz w:val="22"/>
        </w:rPr>
      </w:pPr>
      <w:r>
        <w:t>2. Availability Requirement 25</w:t>
      </w:r>
    </w:p>
    <w:p>
      <w:pPr>
        <w:pStyle w:val="TOC1"/>
        <w:tabs>
          <w:tab w:val="left" w:pos="440"/>
          <w:tab w:val="right" w:leader="dot" w:pos="10457"/>
        </w:tabs>
        <w:rPr>
          <w:rFonts w:asciiTheme="minorHAnsi" w:hAnsiTheme="minorHAnsi"/>
          <w:noProof/>
          <w:sz w:val="22"/>
        </w:rPr>
      </w:pPr>
      <w:r>
        <w:t>3. Service Credits 25</w:t>
      </w:r>
    </w:p>
    <w:p>
      <w:pPr>
        <w:pStyle w:val="TOC1"/>
        <w:tabs>
          <w:tab w:val="left" w:pos="440"/>
          <w:tab w:val="right" w:leader="dot" w:pos="10457"/>
        </w:tabs>
        <w:rPr>
          <w:rFonts w:asciiTheme="minorHAnsi" w:hAnsiTheme="minorHAnsi"/>
          <w:noProof/>
          <w:sz w:val="22"/>
        </w:rPr>
      </w:pPr>
      <w:r>
        <w:t>4. Liability 26</w:t>
      </w:r>
    </w:p>
    <w:p>
      <w:pPr>
        <w:pStyle w:val="TOC1"/>
        <w:tabs>
          <w:tab w:val="left" w:pos="440"/>
          <w:tab w:val="right" w:leader="dot" w:pos="10457"/>
        </w:tabs>
        <w:rPr>
          <w:rFonts w:asciiTheme="minorHAnsi" w:hAnsiTheme="minorHAnsi"/>
          <w:noProof/>
          <w:sz w:val="22"/>
        </w:rPr>
      </w:pPr>
      <w:r>
        <w:t>5. Scheduled Downtime 26</w:t>
      </w:r>
    </w:p>
    <w:p>
      <w:pPr>
        <w:pStyle w:val="TOC1"/>
        <w:tabs>
          <w:tab w:val="left" w:pos="1540"/>
          <w:tab w:val="right" w:leader="dot" w:pos="10457"/>
        </w:tabs>
        <w:rPr>
          <w:rFonts w:asciiTheme="minorHAnsi" w:hAnsiTheme="minorHAnsi"/>
          <w:noProof/>
          <w:sz w:val="22"/>
        </w:rPr>
      </w:pPr>
      <w:r>
        <w:t>Schedule 4 Support Services 27</w:t>
      </w:r>
    </w:p>
    <w:p w:rsidR="004F662A" w:rsidP="008E30E0">
      <w:pPr>
        <w:pStyle w:val="HeadingLevel2"/>
        <w:shd w:val="clear" w:color="auto" w:fill="auto"/>
        <w:outlineLvl w:val="9"/>
        <w:rPr>
          <w:color w:val="000000"/>
        </w:rPr>
      </w:pPr>
      <w:r/>
    </w:p>
    <w:p w:rsidR="004F662A" w:rsidP="008E30E0">
      <w:pPr>
        <w:pStyle w:val="HeadingLevel2"/>
        <w:shd w:val="clear" w:color="auto" w:fill="auto"/>
        <w:outlineLvl w:val="9"/>
        <w:rPr>
          <w:color w:val="000000"/>
        </w:rPr>
        <w:sectPr w:rsidSect="00AD30DC">
          <w:footerReference w:type="even" r:id="rId8"/>
          <w:footerReference w:type="default" r:id="rId9"/>
          <w:footerReference w:type="first" r:id="rId10"/>
          <w:type w:val="continuous"/>
          <w:pgSz w:w="11907" w:h="16840"/>
          <w:pgMar w:top="720" w:right="720" w:bottom="720" w:left="720" w:header="720" w:footer="720" w:gutter="0"/>
          <w:pgNumType w:start="1"/>
          <w:cols w:space="720"/>
          <w:docGrid w:linePitch="299"/>
        </w:sectPr>
      </w:pPr>
      <w:r/>
    </w:p>
    <w:p w:rsidR="004F662A" w:rsidP="008E30E0">
      <w:pPr>
        <w:pStyle w:val="HeadingLevel2"/>
        <w:shd w:val="clear" w:color="auto" w:fill="auto"/>
        <w:outlineLvl w:val="9"/>
        <w:rPr>
          <w:color w:val="000000"/>
        </w:rPr>
      </w:pPr>
      <w:r/>
    </w:p>
    <w:p w:rsidR="004F662A" w:rsidRPr="002109ED" w:rsidP="008E30E0">
      <w:pPr>
        <w:pStyle w:val="IntroDefault"/>
        <w:shd w:val="clear" w:color="auto" w:fill="auto"/>
        <w:outlineLvl w:val="9"/>
        <w:rPr>
          <w:color w:val="000000"/>
        </w:rPr>
      </w:pPr>
      <w:r>
        <w:t>This agreement is dated 26 June 2026.</w:t>
      </w:r>
    </w:p>
    <w:p w:rsidR="004F662A" w:rsidP="008E30E0">
      <w:pPr>
        <w:pStyle w:val="DescriptiveHeading"/>
        <w:shd w:val="clear" w:color="auto" w:fill="auto"/>
        <w:outlineLvl w:val="9"/>
        <w:rPr>
          <w:color w:val="000000"/>
        </w:rPr>
      </w:pPr>
      <w:r>
        <w:t>PARTIES</w:t>
      </w:r>
    </w:p>
    <w:p w:rsidR="004F662A" w:rsidRPr="002109ED" w:rsidP="008E30E0">
      <w:pPr>
        <w:pStyle w:val="Parties"/>
        <w:shd w:val="clear" w:color="auto" w:fill="auto"/>
        <w:outlineLvl w:val="9"/>
        <w:rPr>
          <w:color w:val="000000"/>
        </w:rPr>
      </w:pPr>
      <w:r>
        <w:t>Episap, the operator of the Episap clinical MDT service (Supplier)</w:t>
      </w:r>
    </w:p>
    <w:p w:rsidR="004F662A" w:rsidRPr="002109ED" w:rsidP="008E30E0">
      <w:pPr>
        <w:pStyle w:val="Parties"/>
        <w:shd w:val="clear" w:color="auto" w:fill="auto"/>
        <w:outlineLvl w:val="9"/>
        <w:rPr>
          <w:color w:val="000000"/>
        </w:rPr>
      </w:pPr>
      <w:r>
        <w:t>the customer identified in the applicable order form, subscription record or other written ordering document (Customer)</w:t>
      </w:r>
    </w:p>
    <w:p w:rsidR="004F662A" w:rsidP="008E30E0">
      <w:pPr>
        <w:pStyle w:val="DescriptiveHeading"/>
        <w:shd w:val="clear" w:color="auto" w:fill="auto"/>
        <w:outlineLvl w:val="9"/>
        <w:rPr>
          <w:color w:val="000000"/>
        </w:rPr>
      </w:pPr>
      <w:r>
        <w:t>BACKGROUND</w:t>
      </w:r>
    </w:p>
    <w:p w:rsidR="004F662A" w:rsidRPr="00FA4EBC" w:rsidP="008E30E0">
      <w:pPr>
        <w:pStyle w:val="Background"/>
        <w:shd w:val="clear" w:color="auto" w:fill="auto"/>
        <w:outlineLvl w:val="9"/>
        <w:rPr>
          <w:color w:val="000000"/>
          <w:lang w:val="en-US"/>
        </w:rPr>
      </w:pPr>
      <w:r>
        <w:t>The Supplier is the proprietor of the Services.</w:t>
      </w:r>
    </w:p>
    <w:p w:rsidR="004F662A" w:rsidRPr="002109ED" w:rsidP="008E30E0">
      <w:pPr>
        <w:pStyle w:val="Background"/>
        <w:shd w:val="clear" w:color="auto" w:fill="auto"/>
        <w:outlineLvl w:val="9"/>
        <w:rPr>
          <w:color w:val="000000"/>
          <w:lang w:val="en-US"/>
        </w:rPr>
      </w:pPr>
      <w:r>
        <w:t>The Customer desires to access and use the Supplier's Services for its internal business purposes.</w:t>
      </w:r>
    </w:p>
    <w:p w:rsidR="004F662A" w:rsidRPr="002109ED" w:rsidP="008E30E0">
      <w:pPr>
        <w:pStyle w:val="Background"/>
        <w:shd w:val="clear" w:color="auto" w:fill="auto"/>
        <w:outlineLvl w:val="9"/>
        <w:rPr>
          <w:color w:val="000000"/>
          <w:lang w:val="en-US"/>
        </w:rPr>
      </w:pPr>
      <w:r>
        <w:t>The Supplier agrees to provide access to the Customer to use the Supplier's Services in accordance with the terms and conditions of this Agreement.</w:t>
      </w:r>
    </w:p>
    <w:p w:rsidR="004F662A" w:rsidRPr="002109ED" w:rsidP="008E30E0">
      <w:pPr>
        <w:pStyle w:val="DescriptiveHeading"/>
        <w:shd w:val="clear" w:color="auto" w:fill="auto"/>
        <w:outlineLvl w:val="9"/>
        <w:rPr>
          <w:b w:val="0"/>
          <w:color w:val="000000"/>
        </w:rPr>
      </w:pPr>
      <w:r>
        <w:t>AGREED TERMS</w:t>
      </w:r>
    </w:p>
    <w:p w:rsidR="004F662A" w:rsidP="008E30E0">
      <w:pPr>
        <w:pStyle w:val="TitleClause"/>
        <w:shd w:val="clear" w:color="auto" w:fill="auto"/>
        <w:outlineLvl w:val="9"/>
        <w:rPr>
          <w:color w:val="000000"/>
        </w:rPr>
      </w:pPr>
      <w:r>
        <w:t>Definitions and interpretation</w:t>
      </w:r>
    </w:p>
    <w:p w:rsidR="004F662A" w:rsidRPr="00EF0E2A" w:rsidP="008E30E0">
      <w:pPr>
        <w:pStyle w:val="Titlesubclause1"/>
        <w:shd w:val="clear" w:color="auto" w:fill="auto"/>
        <w:outlineLvl w:val="9"/>
        <w:rPr>
          <w:color w:val="000000"/>
        </w:rPr>
      </w:pPr>
      <w:r>
        <w:t>Definitions</w:t>
      </w:r>
    </w:p>
    <w:p w:rsidR="004F662A" w:rsidP="008E30E0">
      <w:pPr>
        <w:pStyle w:val="DefinedTermPara"/>
        <w:shd w:val="clear" w:color="auto" w:fill="auto"/>
        <w:outlineLvl w:val="9"/>
        <w:rPr>
          <w:color w:val="000000"/>
        </w:rPr>
      </w:pPr>
      <w:r>
        <w:t>Agreement: this Software as a Service agreement between the Supplier and the Customer.</w:t>
      </w:r>
    </w:p>
    <w:p w:rsidR="004F662A" w:rsidP="008E30E0">
      <w:pPr>
        <w:pStyle w:val="DefinedTermPara"/>
        <w:shd w:val="clear" w:color="auto" w:fill="auto"/>
        <w:outlineLvl w:val="9"/>
        <w:rPr>
          <w:color w:val="000000"/>
        </w:rPr>
      </w:pPr>
      <w:r>
        <w:t>Aggregated Statistics: data and information related to the Customer's use of the Services that is used by the Supplier in an aggregate and de-identified manner, including to compile statistical and performance information related to the provision and operation of the Services.</w:t>
      </w:r>
    </w:p>
    <w:p w:rsidR="004F662A" w:rsidP="008E30E0">
      <w:pPr>
        <w:pStyle w:val="DefinedTermPara"/>
        <w:shd w:val="clear" w:color="auto" w:fill="auto"/>
        <w:outlineLvl w:val="9"/>
        <w:rPr>
          <w:color w:val="000000"/>
        </w:rPr>
      </w:pPr>
      <w:r>
        <w:t>APP: an Australian Privacy Principle as defined in the Privacy Act.</w:t>
      </w:r>
    </w:p>
    <w:p w:rsidR="004F662A" w:rsidP="008E30E0">
      <w:pPr>
        <w:pStyle w:val="DefinedTermPara"/>
        <w:shd w:val="clear" w:color="auto" w:fill="auto"/>
        <w:outlineLvl w:val="9"/>
        <w:rPr>
          <w:color w:val="000000"/>
        </w:rPr>
      </w:pPr>
      <w:r>
        <w:t>APP Entity: the definition given in the Privacy Act.</w:t>
      </w:r>
    </w:p>
    <w:p w:rsidR="004F662A" w:rsidP="008E30E0">
      <w:pPr>
        <w:pStyle w:val="DefinedTermPara"/>
        <w:shd w:val="clear" w:color="auto" w:fill="auto"/>
        <w:outlineLvl w:val="9"/>
        <w:rPr>
          <w:color w:val="000000"/>
        </w:rPr>
      </w:pPr>
      <w:r>
        <w:t>ACL: the Australian Consumer Law (as set out in Schedule 2 to the Competition and Consumer Act 2010 (Cth)).</w:t>
      </w:r>
    </w:p>
    <w:p w:rsidR="004F662A" w:rsidP="008E30E0">
      <w:pPr>
        <w:pStyle w:val="DefinedTermPara"/>
        <w:shd w:val="clear" w:color="auto" w:fill="auto"/>
        <w:outlineLvl w:val="9"/>
        <w:rPr>
          <w:color w:val="000000"/>
        </w:rPr>
      </w:pPr>
      <w:r>
        <w:t>Authorised User: the Customer's employees, consultants, contractors, and agents:</w:t>
      </w:r>
    </w:p>
    <w:p w:rsidR="004F662A" w:rsidP="008E30E0">
      <w:pPr>
        <w:pStyle w:val="DefinedTermNumber"/>
        <w:shd w:val="clear" w:color="auto" w:fill="auto"/>
        <w:outlineLvl w:val="9"/>
        <w:rPr>
          <w:color w:val="000000"/>
        </w:rPr>
      </w:pPr>
      <w:r>
        <w:t>who are authorised by the Customer to access and use the Services under the rights granted to the Customer under this Agreement; and</w:t>
      </w:r>
    </w:p>
    <w:p w:rsidR="004F662A" w:rsidP="008E30E0">
      <w:pPr>
        <w:pStyle w:val="DefinedTermNumber"/>
        <w:shd w:val="clear" w:color="auto" w:fill="auto"/>
        <w:outlineLvl w:val="9"/>
        <w:rPr>
          <w:color w:val="000000"/>
        </w:rPr>
      </w:pPr>
      <w:r>
        <w:t>for whom access to the Services has been purchased.</w:t>
      </w:r>
    </w:p>
    <w:p w:rsidR="004F662A" w:rsidP="008E30E0">
      <w:pPr>
        <w:pStyle w:val="DefinedTermPara"/>
        <w:shd w:val="clear" w:color="auto" w:fill="auto"/>
        <w:outlineLvl w:val="9"/>
        <w:rPr>
          <w:color w:val="000000"/>
        </w:rPr>
      </w:pPr>
      <w:r>
        <w:t>Business Day: a day on which banks are open for business in Sydney, other than a Saturday, Sunday or public holiday in that city.</w:t>
      </w:r>
    </w:p>
    <w:p w:rsidR="004F662A" w:rsidP="008E30E0">
      <w:pPr>
        <w:pStyle w:val="DefinedTermPara"/>
        <w:shd w:val="clear" w:color="auto" w:fill="auto"/>
        <w:outlineLvl w:val="9"/>
        <w:rPr>
          <w:color w:val="000000"/>
        </w:rPr>
      </w:pPr>
      <w:r>
        <w:t>Commencement Date: the date this Agreement is to commence set out in Part 1 of Schedule 1.</w:t>
      </w:r>
    </w:p>
    <w:p w:rsidR="004F662A" w:rsidP="008E30E0">
      <w:pPr>
        <w:pStyle w:val="DefinedTermPara"/>
        <w:shd w:val="clear" w:color="auto" w:fill="auto"/>
        <w:outlineLvl w:val="9"/>
        <w:rPr>
          <w:color w:val="000000"/>
        </w:rPr>
      </w:pPr>
      <w:r>
        <w:t>Confidential Information: includes the following:</w:t>
      </w:r>
    </w:p>
    <w:p w:rsidR="004F662A" w:rsidP="008E30E0">
      <w:pPr>
        <w:pStyle w:val="DefinedTermNumber"/>
        <w:shd w:val="clear" w:color="auto" w:fill="auto"/>
        <w:outlineLvl w:val="9"/>
        <w:rPr>
          <w:color w:val="000000"/>
        </w:rPr>
      </w:pPr>
      <w:r>
        <w:t>any information of a confidential nature concerning the business, affairs, customers, clients or suppliers of a party or any of its Related Bodies Corporate, including but not limited to information relating to a party's operations, processes, plans, product information, know-how, designs, trade secrets, software, market opportunities and customer lists.</w:t>
      </w:r>
    </w:p>
    <w:p w:rsidR="004F662A" w:rsidP="008E30E0">
      <w:pPr>
        <w:pStyle w:val="DefinedTermNumber"/>
        <w:shd w:val="clear" w:color="auto" w:fill="auto"/>
        <w:outlineLvl w:val="9"/>
        <w:rPr>
          <w:color w:val="000000"/>
        </w:rPr>
      </w:pPr>
      <w:r>
        <w:t>Customer Data.</w:t>
      </w:r>
    </w:p>
    <w:p w:rsidR="004F662A" w:rsidP="008E30E0">
      <w:pPr>
        <w:pStyle w:val="DefinedTermNumber"/>
        <w:shd w:val="clear" w:color="auto" w:fill="auto"/>
        <w:outlineLvl w:val="9"/>
        <w:rPr>
          <w:color w:val="000000"/>
        </w:rPr>
      </w:pPr>
      <w:r>
        <w:t>the terms of this Agreement.</w:t>
      </w:r>
    </w:p>
    <w:p w:rsidR="004F662A" w:rsidRPr="002109ED" w:rsidP="008E30E0">
      <w:pPr>
        <w:pStyle w:val="DefinedTermPara"/>
        <w:shd w:val="clear" w:color="auto" w:fill="auto"/>
        <w:outlineLvl w:val="9"/>
        <w:rPr>
          <w:color w:val="000000"/>
        </w:rPr>
      </w:pPr>
      <w:r>
        <w:t>Corporations Act: the Corporations Act 2001 (Cth).</w:t>
      </w:r>
    </w:p>
    <w:p w:rsidR="004F662A" w:rsidP="008E30E0">
      <w:pPr>
        <w:pStyle w:val="DefinedTermPara"/>
        <w:shd w:val="clear" w:color="auto" w:fill="auto"/>
        <w:outlineLvl w:val="9"/>
        <w:rPr>
          <w:color w:val="000000"/>
        </w:rPr>
      </w:pPr>
      <w:r>
        <w:t>Customer Data: other than Aggregated Statistics, any information, data, and other content, in any form or medium, that is submitted, posted, or otherwise transmitted by or on behalf of Customer or an Authorised User through or in connection with the Services, including patient-case information and meeting content entered by authorised users.</w:t>
      </w:r>
    </w:p>
    <w:p w:rsidR="004F662A" w:rsidP="008E30E0">
      <w:pPr>
        <w:pStyle w:val="DefinedTermPara"/>
        <w:shd w:val="clear" w:color="auto" w:fill="auto"/>
        <w:outlineLvl w:val="9"/>
        <w:rPr>
          <w:color w:val="000000"/>
        </w:rPr>
      </w:pPr>
      <w:r>
        <w:t>Data Breach Investigation: an investigation as required to be carried out in accordance with clause 13.4(c).</w:t>
      </w:r>
    </w:p>
    <w:p w:rsidR="004F662A" w:rsidP="008E30E0">
      <w:pPr>
        <w:pStyle w:val="DefinedTermPara"/>
        <w:shd w:val="clear" w:color="auto" w:fill="auto"/>
        <w:outlineLvl w:val="9"/>
        <w:rPr>
          <w:color w:val="000000"/>
        </w:rPr>
      </w:pPr>
      <w:r>
        <w:t>Data Incident: an Eligible Data Breach that has, or is reasonably suspected to have, occurred in respect of any Personal Information the Supplier has collected, held, used or disclosed in the course of or relating to this Agreement.</w:t>
      </w:r>
    </w:p>
    <w:p w:rsidR="004F662A" w:rsidP="008E30E0">
      <w:pPr>
        <w:pStyle w:val="DefinedTermPara"/>
        <w:shd w:val="clear" w:color="auto" w:fill="auto"/>
        <w:outlineLvl w:val="9"/>
        <w:rPr>
          <w:color w:val="000000"/>
        </w:rPr>
      </w:pPr>
      <w:r>
        <w:t>Documentation: the Supplier's user manuals, handbooks and guides relating to the Services provided by the Supplier to the Customer either electronically or in hard copy form.</w:t>
      </w:r>
    </w:p>
    <w:p w:rsidR="004F662A" w:rsidP="008E30E0">
      <w:pPr>
        <w:pStyle w:val="DefinedTermPara"/>
        <w:shd w:val="clear" w:color="auto" w:fill="auto"/>
        <w:outlineLvl w:val="9"/>
        <w:rPr>
          <w:color w:val="000000"/>
        </w:rPr>
      </w:pPr>
      <w:r>
        <w:t>Eligible Data Breach: an eligible data breach as that term is defined in the Privacy Act.</w:t>
      </w:r>
    </w:p>
    <w:p w:rsidR="004F662A" w:rsidP="008E30E0">
      <w:pPr>
        <w:pStyle w:val="DefinedTermPara"/>
        <w:shd w:val="clear" w:color="auto" w:fill="auto"/>
        <w:outlineLvl w:val="9"/>
        <w:rPr>
          <w:color w:val="000000"/>
        </w:rPr>
      </w:pPr>
      <w:r>
        <w:t>Feedback: any communications or materials provided by the Customer or an Authorised User to the Supplier by mail, email, telephone or otherwise, suggesting or recommending changes to the Supplier IP, including without limitation, new features or functionality relating thereto, or any comments, questions, suggestions or the like.</w:t>
      </w:r>
    </w:p>
    <w:p w:rsidR="004F662A" w:rsidP="008E30E0">
      <w:pPr>
        <w:pStyle w:val="DefinedTermPara"/>
        <w:shd w:val="clear" w:color="auto" w:fill="auto"/>
        <w:outlineLvl w:val="9"/>
        <w:rPr>
          <w:color w:val="000000"/>
        </w:rPr>
      </w:pPr>
      <w:r>
        <w:t>Fees: the fees as specified in Part 2 of Schedule 1.</w:t>
      </w:r>
    </w:p>
    <w:p w:rsidR="004F662A" w:rsidP="008E30E0">
      <w:pPr>
        <w:pStyle w:val="DefinedTermPara"/>
        <w:shd w:val="clear" w:color="auto" w:fill="auto"/>
        <w:outlineLvl w:val="9"/>
        <w:rPr>
          <w:color w:val="000000"/>
        </w:rPr>
      </w:pPr>
      <w:r>
        <w:t>Force Majeure Event: the definition given in clause 15.9(a).</w:t>
      </w:r>
    </w:p>
    <w:p w:rsidR="004F662A" w:rsidP="008E30E0">
      <w:pPr>
        <w:pStyle w:val="DefinedTermPara"/>
        <w:shd w:val="clear" w:color="auto" w:fill="auto"/>
        <w:outlineLvl w:val="9"/>
        <w:rPr>
          <w:color w:val="000000"/>
        </w:rPr>
      </w:pPr>
      <w:r>
        <w:t>Government Agency: any government or governmental, administrative, monetary, fiscal or judicial body, department, commission, authority, tribunal, agency or entity in any part of the world.</w:t>
      </w:r>
    </w:p>
    <w:p w:rsidR="004F662A" w:rsidP="008E30E0">
      <w:pPr>
        <w:pStyle w:val="DefinedTermPara"/>
        <w:shd w:val="clear" w:color="auto" w:fill="auto"/>
        <w:outlineLvl w:val="9"/>
        <w:rPr>
          <w:color w:val="000000"/>
        </w:rPr>
      </w:pPr>
      <w:r>
        <w:t>GST: the definition given to that term in the GST Act.</w:t>
      </w:r>
    </w:p>
    <w:p w:rsidR="004F662A" w:rsidRPr="00C2764F" w:rsidP="008E30E0">
      <w:pPr>
        <w:pStyle w:val="DefinedTermPara"/>
        <w:shd w:val="clear" w:color="auto" w:fill="auto"/>
        <w:outlineLvl w:val="9"/>
        <w:rPr>
          <w:color w:val="000000"/>
        </w:rPr>
      </w:pPr>
      <w:r>
        <w:t>GST Act: the A New Tax System (Goods and Services Tax) Act 1999 (Cth).</w:t>
      </w:r>
    </w:p>
    <w:p w:rsidR="004F662A" w:rsidP="008E30E0">
      <w:pPr>
        <w:pStyle w:val="DefinedTermPara"/>
        <w:shd w:val="clear" w:color="auto" w:fill="auto"/>
        <w:outlineLvl w:val="9"/>
        <w:rPr>
          <w:color w:val="000000"/>
        </w:rPr>
      </w:pPr>
      <w:r>
        <w:t>GST Law: the definition given to that term in the GST Act.</w:t>
      </w:r>
    </w:p>
    <w:p w:rsidR="004F662A" w:rsidP="008E30E0">
      <w:pPr>
        <w:pStyle w:val="DefinedTermPara"/>
        <w:shd w:val="clear" w:color="auto" w:fill="auto"/>
        <w:outlineLvl w:val="9"/>
        <w:rPr>
          <w:color w:val="000000"/>
        </w:rPr>
      </w:pPr>
      <w:r>
        <w:t>Initial Term: the definition given in clause 12.1.</w:t>
      </w:r>
    </w:p>
    <w:p w:rsidR="004F662A" w:rsidP="008E30E0">
      <w:pPr>
        <w:pStyle w:val="DefinedTermPara"/>
        <w:shd w:val="clear" w:color="auto" w:fill="auto"/>
        <w:outlineLvl w:val="9"/>
        <w:rPr>
          <w:color w:val="000000"/>
        </w:rPr>
      </w:pPr>
      <w:r>
        <w:t>Insolvency Event: the occurrence of any one or more of the following events in relation to a party:</w:t>
      </w:r>
    </w:p>
    <w:p w:rsidR="004F662A" w:rsidP="008E30E0">
      <w:pPr>
        <w:pStyle w:val="DefinedTermNumber"/>
        <w:shd w:val="clear" w:color="auto" w:fill="auto"/>
        <w:outlineLvl w:val="9"/>
        <w:rPr>
          <w:color w:val="000000"/>
        </w:rPr>
      </w:pPr>
      <w:r>
        <w:t>it is insolvent as defined by section 95A of the Corporations Act as disclosed in its accounts or otherwise, states that it is insolvent, is presumed to be insolvent under an applicable law (including under section 459C(2) or section 585 of the Corporations Act) or otherwise is, or states that it is, unable to pay all its debts as and when they become due and payable;</w:t>
      </w:r>
    </w:p>
    <w:p w:rsidR="004F662A" w:rsidP="008E30E0">
      <w:pPr>
        <w:pStyle w:val="DefinedTermNumber"/>
        <w:shd w:val="clear" w:color="auto" w:fill="auto"/>
        <w:outlineLvl w:val="9"/>
        <w:rPr>
          <w:color w:val="000000"/>
        </w:rPr>
      </w:pPr>
      <w:r>
        <w:t>any step is taken to appoint a receiver, a receiver and manager, a liquidator or a provisional liquidator or other like person to it or any of its assets, operations or business;</w:t>
      </w:r>
    </w:p>
    <w:p w:rsidR="004F662A" w:rsidP="008E30E0">
      <w:pPr>
        <w:pStyle w:val="DefinedTermNumber"/>
        <w:shd w:val="clear" w:color="auto" w:fill="auto"/>
        <w:outlineLvl w:val="9"/>
        <w:rPr>
          <w:color w:val="000000"/>
        </w:rPr>
      </w:pPr>
      <w:r>
        <w:t>an administrator is appointed to it under section 436A, section 436B or section 436C of the Corporations Act;</w:t>
      </w:r>
    </w:p>
    <w:p w:rsidR="004F662A" w:rsidP="008E30E0">
      <w:pPr>
        <w:pStyle w:val="DefinedTermNumber"/>
        <w:shd w:val="clear" w:color="auto" w:fill="auto"/>
        <w:outlineLvl w:val="9"/>
        <w:rPr>
          <w:color w:val="000000"/>
        </w:rPr>
      </w:pPr>
      <w:r>
        <w:t>a controller (as defined in section 9 of the Corporations Act) is appointed to it or any of its assets;</w:t>
      </w:r>
    </w:p>
    <w:p w:rsidR="004F662A" w:rsidP="008E30E0">
      <w:pPr>
        <w:pStyle w:val="DefinedTermNumber"/>
        <w:shd w:val="clear" w:color="auto" w:fill="auto"/>
        <w:outlineLvl w:val="9"/>
        <w:rPr>
          <w:color w:val="000000"/>
        </w:rPr>
      </w:pPr>
      <w:r>
        <w:t>an application is made to a court for an order, or an order is made, that it be wound up, declared bankrupt or that a provisional liquidator, receiver or receiver and manager be appointed, and that application is not withdrawn, struck out or dismissed within 15 Business Days of it being made;</w:t>
      </w:r>
    </w:p>
    <w:p w:rsidR="004F662A" w:rsidP="008E30E0">
      <w:pPr>
        <w:pStyle w:val="DefinedTermNumber"/>
        <w:shd w:val="clear" w:color="auto" w:fill="auto"/>
        <w:outlineLvl w:val="9"/>
        <w:rPr>
          <w:color w:val="000000"/>
        </w:rPr>
      </w:pPr>
      <w:r>
        <w:t>any step is taken to enter into an arrangement or composition with one or more of its creditors, or an assignment for the benefit of one or more of its creditors, in each case other than to carry out a reconstruction or amalgamation while solvent;</w:t>
      </w:r>
    </w:p>
    <w:p w:rsidR="004F662A" w:rsidP="008E30E0">
      <w:pPr>
        <w:pStyle w:val="DefinedTermNumber"/>
        <w:shd w:val="clear" w:color="auto" w:fill="auto"/>
        <w:outlineLvl w:val="9"/>
        <w:rPr>
          <w:color w:val="000000"/>
        </w:rPr>
      </w:pPr>
      <w:r>
        <w:t>it proposes a winding-up, dissolution or reorganisation, moratorium, deed of company arrangement or other administration involving one or more of its creditors;</w:t>
      </w:r>
    </w:p>
    <w:p w:rsidR="004F662A" w:rsidP="008E30E0">
      <w:pPr>
        <w:pStyle w:val="DefinedTermNumber"/>
        <w:shd w:val="clear" w:color="auto" w:fill="auto"/>
        <w:outlineLvl w:val="9"/>
        <w:rPr>
          <w:color w:val="000000"/>
        </w:rPr>
      </w:pPr>
      <w:r>
        <w:t>it is taken to have failed to comply with a statutory demand under section 459F(1) of the Corporations Act;</w:t>
      </w:r>
    </w:p>
    <w:p w:rsidR="004F662A" w:rsidP="008E30E0">
      <w:pPr>
        <w:pStyle w:val="DefinedTermNumber"/>
        <w:shd w:val="clear" w:color="auto" w:fill="auto"/>
        <w:outlineLvl w:val="9"/>
        <w:rPr>
          <w:color w:val="000000"/>
        </w:rPr>
      </w:pPr>
      <w:r>
        <w:t>a notice is issued under section 601AA or section 601AB of the Corporations Act and not withdrawn or dismissed within 15 Business Days;</w:t>
      </w:r>
    </w:p>
    <w:p w:rsidR="004F662A" w:rsidP="008E30E0">
      <w:pPr>
        <w:pStyle w:val="DefinedTermNumber"/>
        <w:shd w:val="clear" w:color="auto" w:fill="auto"/>
        <w:outlineLvl w:val="9"/>
        <w:rPr>
          <w:color w:val="000000"/>
        </w:rPr>
      </w:pPr>
      <w:r>
        <w:t>a writ of execution for an amount in excess of $10,000 is levied against it or a material part of its property that is not dismissed within 15 Business Days;</w:t>
      </w:r>
    </w:p>
    <w:p w:rsidR="004F662A" w:rsidP="008E30E0">
      <w:pPr>
        <w:pStyle w:val="DefinedTermNumber"/>
        <w:shd w:val="clear" w:color="auto" w:fill="auto"/>
        <w:outlineLvl w:val="9"/>
        <w:rPr>
          <w:color w:val="000000"/>
        </w:rPr>
      </w:pPr>
      <w:r>
        <w:t>it ceases to carry on business or threatens to do so, other than in accordance with the terms of this Agreement; or</w:t>
      </w:r>
    </w:p>
    <w:p w:rsidR="004F662A" w:rsidP="008E30E0">
      <w:pPr>
        <w:pStyle w:val="DefinedTermNumber"/>
        <w:shd w:val="clear" w:color="auto" w:fill="auto"/>
        <w:outlineLvl w:val="9"/>
        <w:rPr>
          <w:color w:val="000000"/>
        </w:rPr>
      </w:pPr>
      <w:r>
        <w:t>anything that occurs under the law of any jurisdiction that has a substantially similar effect to any of the events set out in paragraphs (a) to (k) of this definition.</w:t>
      </w:r>
    </w:p>
    <w:p w:rsidR="004F662A" w:rsidP="008E30E0">
      <w:pPr>
        <w:pStyle w:val="DefinedTermPara"/>
        <w:shd w:val="clear" w:color="auto" w:fill="auto"/>
        <w:outlineLvl w:val="9"/>
        <w:rPr>
          <w:color w:val="000000"/>
        </w:rPr>
      </w:pPr>
      <w:r>
        <w:t>Intellectual Property Rights: patents, rights to inventions, copyright and related rights, trade marks, business names and domain names, rights in get-up, goodwill and the right to sue for passing off, rights in designs and unregistered designs, topography rights and database rights, rights to use, and protect the confidentiality of, confidential information (including know-how, trade secrets and datasets), technology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that subsist now or in the future, anywhere in the world.</w:t>
      </w:r>
    </w:p>
    <w:p w:rsidR="004F662A" w:rsidP="008E30E0">
      <w:pPr>
        <w:pStyle w:val="DefinedTermPara"/>
        <w:shd w:val="clear" w:color="auto" w:fill="auto"/>
        <w:outlineLvl w:val="9"/>
        <w:rPr>
          <w:color w:val="000000"/>
        </w:rPr>
      </w:pPr>
      <w:r>
        <w:t>Interest Rate: for a given date, the daily cash rate set by the Reserve Bank of Australia and displayed at or about 10:30 am (Sydney time) on that date on the Reserve Bank of Australia website.</w:t>
      </w:r>
    </w:p>
    <w:p w:rsidR="004F662A" w:rsidP="008E30E0">
      <w:pPr>
        <w:pStyle w:val="DefinedTermPara"/>
        <w:shd w:val="clear" w:color="auto" w:fill="auto"/>
        <w:outlineLvl w:val="9"/>
        <w:rPr>
          <w:color w:val="000000"/>
        </w:rPr>
      </w:pPr>
      <w:r>
        <w:t>Notice: the definition given in clause 14.1.</w:t>
      </w:r>
    </w:p>
    <w:p w:rsidR="004F662A" w:rsidP="008E30E0">
      <w:pPr>
        <w:pStyle w:val="DefinedTermPara"/>
        <w:shd w:val="clear" w:color="auto" w:fill="auto"/>
        <w:outlineLvl w:val="9"/>
        <w:rPr>
          <w:color w:val="000000"/>
        </w:rPr>
      </w:pPr>
      <w:r>
        <w:t>Personal Information: personal information as that term is defined in the Privacy Act.</w:t>
      </w:r>
    </w:p>
    <w:p w:rsidR="004F662A" w:rsidP="008E30E0">
      <w:pPr>
        <w:pStyle w:val="DefinedTermPara"/>
        <w:shd w:val="clear" w:color="auto" w:fill="auto"/>
        <w:outlineLvl w:val="9"/>
        <w:rPr>
          <w:color w:val="000000"/>
        </w:rPr>
      </w:pPr>
      <w:r>
        <w:t>Privacy Act: the Privacy Act 1988 (Cth).</w:t>
      </w:r>
    </w:p>
    <w:p w:rsidR="004F662A" w:rsidP="008E30E0">
      <w:pPr>
        <w:pStyle w:val="DefinedTermPara"/>
        <w:shd w:val="clear" w:color="auto" w:fill="auto"/>
        <w:outlineLvl w:val="9"/>
        <w:rPr>
          <w:color w:val="000000"/>
        </w:rPr>
      </w:pPr>
      <w:r>
        <w:t>Privacy Policy: the Supplier's privacy policy detailed on the Supplier's website located at https://episapient.com/privacy as amended from time to time.</w:t>
      </w:r>
    </w:p>
    <w:p w:rsidR="004F662A" w:rsidP="008E30E0">
      <w:pPr>
        <w:pStyle w:val="DefinedTermPara"/>
        <w:shd w:val="clear" w:color="auto" w:fill="auto"/>
        <w:outlineLvl w:val="9"/>
        <w:rPr>
          <w:color w:val="000000"/>
        </w:rPr>
      </w:pPr>
      <w:r>
        <w:t>Related Body Corporate: the definition given in section 9 of the Corporations Act.</w:t>
      </w:r>
    </w:p>
    <w:p w:rsidR="004F662A" w:rsidP="008E30E0">
      <w:pPr>
        <w:pStyle w:val="DefinedTermPara"/>
        <w:shd w:val="clear" w:color="auto" w:fill="auto"/>
        <w:outlineLvl w:val="9"/>
        <w:rPr>
          <w:color w:val="000000"/>
        </w:rPr>
      </w:pPr>
      <w:r>
        <w:t>Renewal Term: the definition given in clause 12.2.</w:t>
      </w:r>
    </w:p>
    <w:p w:rsidR="004F662A" w:rsidP="008E30E0">
      <w:pPr>
        <w:pStyle w:val="DefinedTermPara"/>
        <w:shd w:val="clear" w:color="auto" w:fill="auto"/>
        <w:outlineLvl w:val="9"/>
        <w:rPr>
          <w:color w:val="000000"/>
        </w:rPr>
      </w:pPr>
      <w:r>
        <w:t>Security Measures: the Supplier's data security measures detailed in Schedule 2 or on the Supplier's website located at https://episapient.com as amended from time to time.</w:t>
      </w:r>
    </w:p>
    <w:p w:rsidR="004F662A" w:rsidP="008E30E0">
      <w:pPr>
        <w:pStyle w:val="DefinedTermPara"/>
        <w:shd w:val="clear" w:color="auto" w:fill="auto"/>
        <w:outlineLvl w:val="9"/>
        <w:rPr>
          <w:color w:val="000000"/>
        </w:rPr>
      </w:pPr>
      <w:r>
        <w:t>Sensitive Information: sensitive information as that term is defined in the Privacy Act.</w:t>
      </w:r>
    </w:p>
    <w:p w:rsidR="004F662A" w:rsidP="008E30E0">
      <w:pPr>
        <w:pStyle w:val="DefinedTermPara"/>
        <w:shd w:val="clear" w:color="auto" w:fill="auto"/>
        <w:outlineLvl w:val="9"/>
        <w:rPr>
          <w:color w:val="000000"/>
        </w:rPr>
      </w:pPr>
      <w:r>
        <w:t>Service Levels: the service levels described in Schedule 3 as amended from time to time.</w:t>
      </w:r>
    </w:p>
    <w:p w:rsidR="004F662A" w:rsidP="008E30E0">
      <w:pPr>
        <w:pStyle w:val="DefinedTermPara"/>
        <w:shd w:val="clear" w:color="auto" w:fill="auto"/>
        <w:outlineLvl w:val="9"/>
        <w:rPr>
          <w:color w:val="000000"/>
        </w:rPr>
      </w:pPr>
      <w:r>
        <w:t>Services: the Software as a Service offering described in Part 4 of Schedule 1 supplied (or to be supplied) by the Supplier to the Customer as amended, updated, altered, modified or enhanced from time to time.</w:t>
      </w:r>
    </w:p>
    <w:p w:rsidR="004F662A" w:rsidP="008E30E0">
      <w:pPr>
        <w:pStyle w:val="DefinedTermPara"/>
        <w:shd w:val="clear" w:color="auto" w:fill="auto"/>
        <w:outlineLvl w:val="9"/>
        <w:rPr>
          <w:color w:val="000000"/>
        </w:rPr>
      </w:pPr>
      <w:r>
        <w:t>Service Suspension: any suspension described in clause 2.6(a), clause 2.6(b) or clause 2.6(c).</w:t>
      </w:r>
    </w:p>
    <w:p w:rsidR="004F662A" w:rsidP="008E30E0">
      <w:pPr>
        <w:pStyle w:val="DefinedTermPara"/>
        <w:shd w:val="clear" w:color="auto" w:fill="auto"/>
        <w:outlineLvl w:val="9"/>
        <w:rPr>
          <w:color w:val="000000"/>
        </w:rPr>
      </w:pPr>
      <w:r>
        <w:t>Supplier IP: any and all Intellectual Property Rights in the Services and the Documentation and any templates, formats, dashboards and the like as modified or improved from time to time that are accessible by or generated from the Customer's use of the Services, excluding any Customer Data. For the avoidance of doubt, Supplier IP includes any Aggregated Statistics and any information, data, or other content derived from the Supplier's monitoring of the Customer's access to or use of the Services, but does not include Customer Data.</w:t>
      </w:r>
    </w:p>
    <w:p w:rsidR="004F662A" w:rsidP="008E30E0">
      <w:pPr>
        <w:pStyle w:val="DefinedTermPara"/>
        <w:shd w:val="clear" w:color="auto" w:fill="auto"/>
        <w:outlineLvl w:val="9"/>
        <w:rPr>
          <w:color w:val="000000"/>
        </w:rPr>
      </w:pPr>
      <w:r>
        <w:t>Support Services: the services described in Schedule 4 as amended from time to time.</w:t>
      </w:r>
    </w:p>
    <w:p w:rsidR="004F662A" w:rsidP="008E30E0">
      <w:pPr>
        <w:pStyle w:val="DefinedTermPara"/>
        <w:shd w:val="clear" w:color="auto" w:fill="auto"/>
        <w:outlineLvl w:val="9"/>
        <w:rPr>
          <w:color w:val="000000"/>
        </w:rPr>
      </w:pPr>
      <w:r>
        <w:t>Term: the definition given in clause 12.1.</w:t>
      </w:r>
    </w:p>
    <w:p w:rsidR="004F662A" w:rsidP="008E30E0">
      <w:pPr>
        <w:pStyle w:val="DefinedTermPara"/>
        <w:shd w:val="clear" w:color="auto" w:fill="auto"/>
        <w:outlineLvl w:val="9"/>
        <w:rPr>
          <w:color w:val="000000"/>
        </w:rPr>
      </w:pPr>
      <w:r>
        <w:t>Third-Party Products: any third-party products described in Part 5 of Schedule 1 provided with or incorporated into the Services.</w:t>
      </w:r>
    </w:p>
    <w:p w:rsidR="004F662A" w:rsidP="008E30E0">
      <w:pPr>
        <w:pStyle w:val="Titlesubclause1"/>
        <w:shd w:val="clear" w:color="auto" w:fill="auto"/>
        <w:outlineLvl w:val="9"/>
        <w:rPr>
          <w:color w:val="000000"/>
        </w:rPr>
      </w:pPr>
      <w:r>
        <w:t>Interpretation</w:t>
      </w:r>
    </w:p>
    <w:p w:rsidR="004F662A" w:rsidRPr="002109ED" w:rsidP="008E30E0">
      <w:pPr>
        <w:pStyle w:val="Parasubclause1"/>
        <w:shd w:val="clear" w:color="auto" w:fill="auto"/>
        <w:outlineLvl w:val="9"/>
        <w:rPr>
          <w:color w:val="000000"/>
        </w:rPr>
      </w:pPr>
      <w:r>
        <w:t>In this Agreement, the following rules of interpretation apply, unless the contrary intention appears or context otherwise requires:</w:t>
      </w:r>
    </w:p>
    <w:p w:rsidR="004F662A" w:rsidRPr="002109ED" w:rsidP="008E30E0">
      <w:pPr>
        <w:pStyle w:val="Untitledsubclause2"/>
        <w:shd w:val="clear" w:color="auto" w:fill="auto"/>
        <w:outlineLvl w:val="9"/>
        <w:rPr>
          <w:color w:val="000000"/>
        </w:rPr>
      </w:pPr>
      <w:r>
        <w:t>Headings and subheadings are for convenience only and do not affect the interpretation of this Agreement.</w:t>
      </w:r>
    </w:p>
    <w:p w:rsidR="004F662A" w:rsidRPr="002109ED" w:rsidP="008E30E0">
      <w:pPr>
        <w:pStyle w:val="Untitledsubclause2"/>
        <w:shd w:val="clear" w:color="auto" w:fill="auto"/>
        <w:outlineLvl w:val="9"/>
        <w:rPr>
          <w:color w:val="000000"/>
        </w:rPr>
      </w:pPr>
      <w:r>
        <w:t>References to clauses, Schedules, annexures, appendices, attachments and exhibits are references to the clauses of, and the Schedules, annexures, appendices, attachments and exhibits to, this Agreement.</w:t>
      </w:r>
    </w:p>
    <w:p w:rsidR="004F662A" w:rsidRPr="002109ED" w:rsidP="008E30E0">
      <w:pPr>
        <w:pStyle w:val="Untitledsubclause2"/>
        <w:shd w:val="clear" w:color="auto" w:fill="auto"/>
        <w:outlineLvl w:val="9"/>
        <w:rPr>
          <w:color w:val="000000"/>
        </w:rPr>
      </w:pPr>
      <w:r>
        <w:t>References to parties are references to the parties to this Agreement.</w:t>
      </w:r>
    </w:p>
    <w:p w:rsidR="004F662A" w:rsidRPr="002109ED" w:rsidP="008E30E0">
      <w:pPr>
        <w:pStyle w:val="Untitledsubclause2"/>
        <w:shd w:val="clear" w:color="auto" w:fill="auto"/>
        <w:outlineLvl w:val="9"/>
        <w:rPr>
          <w:color w:val="000000"/>
        </w:rPr>
      </w:pPr>
      <w:r>
        <w:t>References to a party to any agreement or document include that party's permitted assignees and successors, including executors and administrators and legal representatives.</w:t>
      </w:r>
    </w:p>
    <w:p w:rsidR="004F662A" w:rsidRPr="002109ED" w:rsidP="008E30E0">
      <w:pPr>
        <w:pStyle w:val="Untitledsubclause2"/>
        <w:shd w:val="clear" w:color="auto" w:fill="auto"/>
        <w:outlineLvl w:val="9"/>
        <w:rPr>
          <w:color w:val="000000"/>
        </w:rPr>
      </w:pPr>
      <w:r>
        <w:t>Words denoting the singular include the plural and words denoting the plural include the singular.</w:t>
      </w:r>
    </w:p>
    <w:p w:rsidR="004F662A" w:rsidRPr="002109ED" w:rsidP="008E30E0">
      <w:pPr>
        <w:pStyle w:val="Untitledsubclause2"/>
        <w:shd w:val="clear" w:color="auto" w:fill="auto"/>
        <w:outlineLvl w:val="9"/>
        <w:rPr>
          <w:color w:val="000000"/>
        </w:rPr>
      </w:pPr>
      <w:r>
        <w:t>Words denoting any gender include all genders.</w:t>
      </w:r>
    </w:p>
    <w:p w:rsidR="004F662A" w:rsidRPr="002109ED" w:rsidP="008E30E0">
      <w:pPr>
        <w:pStyle w:val="Untitledsubclause2"/>
        <w:shd w:val="clear" w:color="auto" w:fill="auto"/>
        <w:outlineLvl w:val="9"/>
        <w:rPr>
          <w:color w:val="000000"/>
        </w:rPr>
      </w:pPr>
      <w:r>
        <w:t>The word "person" includes any individual, corporation or other body corporate, partnership, joint venture, trust, association and any Government Agency.</w:t>
      </w:r>
    </w:p>
    <w:p w:rsidR="004F662A" w:rsidRPr="002109ED" w:rsidP="008E30E0">
      <w:pPr>
        <w:pStyle w:val="Untitledsubclause2"/>
        <w:shd w:val="clear" w:color="auto" w:fill="auto"/>
        <w:outlineLvl w:val="9"/>
        <w:rPr>
          <w:color w:val="000000"/>
        </w:rPr>
      </w:pPr>
      <w:r>
        <w:t>A reference to a body (other than a party to this Agreement), whether statutory or not, that ceases to exist or has its powers or functions transferred to another body is a reference to the body that replaces it or that substantially succeeds to its powers or functions.</w:t>
      </w:r>
    </w:p>
    <w:p w:rsidR="004F662A" w:rsidRPr="002109ED" w:rsidP="008E30E0">
      <w:pPr>
        <w:pStyle w:val="Untitledsubclause2"/>
        <w:shd w:val="clear" w:color="auto" w:fill="auto"/>
        <w:outlineLvl w:val="9"/>
        <w:rPr>
          <w:color w:val="000000"/>
        </w:rPr>
      </w:pPr>
      <w:r>
        <w:t>A reference to any agreement or document (including this Agreement) includes any amendments to or replacements of that document.</w:t>
      </w:r>
    </w:p>
    <w:p w:rsidR="004F662A" w:rsidRPr="002109ED" w:rsidP="008E30E0">
      <w:pPr>
        <w:pStyle w:val="Untitledsubclause2"/>
        <w:shd w:val="clear" w:color="auto" w:fill="auto"/>
        <w:outlineLvl w:val="9"/>
        <w:rPr>
          <w:color w:val="000000"/>
        </w:rPr>
      </w:pPr>
      <w:r>
        <w:t>A reference to a law includes:</w:t>
      </w:r>
    </w:p>
    <w:p w:rsidR="004F662A" w:rsidRPr="002109ED" w:rsidP="008E30E0">
      <w:pPr>
        <w:pStyle w:val="Untitledsubclause3"/>
        <w:shd w:val="clear" w:color="auto" w:fill="auto"/>
        <w:outlineLvl w:val="9"/>
        <w:rPr>
          <w:color w:val="000000"/>
        </w:rPr>
      </w:pPr>
      <w:r>
        <w:t>legislation, regulations and other instruments made under legislation and any consolidations, amendments, re-enactments or replacements of them;</w:t>
      </w:r>
    </w:p>
    <w:p w:rsidR="004F662A" w:rsidRPr="002109ED" w:rsidP="008E30E0">
      <w:pPr>
        <w:pStyle w:val="Untitledsubclause3"/>
        <w:shd w:val="clear" w:color="auto" w:fill="auto"/>
        <w:outlineLvl w:val="9"/>
        <w:rPr>
          <w:color w:val="000000"/>
        </w:rPr>
      </w:pPr>
      <w:r>
        <w:t>any constitutional provision, treaty or decree;</w:t>
      </w:r>
    </w:p>
    <w:p w:rsidR="004F662A" w:rsidRPr="002109ED" w:rsidP="008E30E0">
      <w:pPr>
        <w:pStyle w:val="Untitledsubclause3"/>
        <w:shd w:val="clear" w:color="auto" w:fill="auto"/>
        <w:outlineLvl w:val="9"/>
        <w:rPr>
          <w:color w:val="000000"/>
        </w:rPr>
      </w:pPr>
      <w:r>
        <w:t>any judgment;</w:t>
      </w:r>
    </w:p>
    <w:p w:rsidR="004F662A" w:rsidRPr="002109ED" w:rsidP="008E30E0">
      <w:pPr>
        <w:pStyle w:val="Untitledsubclause3"/>
        <w:shd w:val="clear" w:color="auto" w:fill="auto"/>
        <w:outlineLvl w:val="9"/>
        <w:rPr>
          <w:color w:val="000000"/>
        </w:rPr>
      </w:pPr>
      <w:r>
        <w:t>any rule or principle of common law or equity,</w:t>
      </w:r>
    </w:p>
    <w:p w:rsidR="004F662A" w:rsidRPr="002109ED" w:rsidP="008E30E0">
      <w:pPr>
        <w:pStyle w:val="Parasubclause2"/>
        <w:shd w:val="clear" w:color="auto" w:fill="auto"/>
        <w:outlineLvl w:val="9"/>
        <w:rPr>
          <w:color w:val="000000"/>
        </w:rPr>
      </w:pPr>
      <w:r>
        <w:t>and is a reference to that law as amended, consolidated, re-enacted, replaced or applied to new or different facts.</w:t>
      </w:r>
    </w:p>
    <w:p w:rsidR="004F662A" w:rsidRPr="002109ED" w:rsidP="008E30E0">
      <w:pPr>
        <w:pStyle w:val="Untitledsubclause2"/>
        <w:shd w:val="clear" w:color="auto" w:fill="auto"/>
        <w:outlineLvl w:val="9"/>
        <w:rPr>
          <w:color w:val="000000"/>
        </w:rPr>
      </w:pPr>
      <w:r>
        <w:t>Any promise, agreement, representation or warranty given or entered into on the part of two or more persons binds them jointly and each of them severally.</w:t>
      </w:r>
    </w:p>
    <w:p w:rsidR="004F662A" w:rsidRPr="002109ED" w:rsidP="008E30E0">
      <w:pPr>
        <w:pStyle w:val="Untitledsubclause2"/>
        <w:shd w:val="clear" w:color="auto" w:fill="auto"/>
        <w:outlineLvl w:val="9"/>
        <w:rPr>
          <w:color w:val="000000"/>
        </w:rPr>
      </w:pPr>
      <w:r>
        <w:t>Any promise, agreement, representation or warranty given or entered into on the part of two or more persons is for the benefit of them jointly and each of them severally.</w:t>
      </w:r>
    </w:p>
    <w:p w:rsidR="004F662A" w:rsidRPr="002109ED" w:rsidP="008E30E0">
      <w:pPr>
        <w:pStyle w:val="Untitledsubclause2"/>
        <w:shd w:val="clear" w:color="auto" w:fill="auto"/>
        <w:outlineLvl w:val="9"/>
        <w:rPr>
          <w:color w:val="000000"/>
        </w:rPr>
      </w:pPr>
      <w:r>
        <w:t>No provision of this Agreement will be construed adversely to a party because that party was responsible for the preparation of that provision or this Agreement.</w:t>
      </w:r>
    </w:p>
    <w:p w:rsidR="004F662A" w:rsidRPr="002109ED" w:rsidP="008E30E0">
      <w:pPr>
        <w:pStyle w:val="Untitledsubclause2"/>
        <w:shd w:val="clear" w:color="auto" w:fill="auto"/>
        <w:outlineLvl w:val="9"/>
        <w:rPr>
          <w:color w:val="000000"/>
        </w:rPr>
      </w:pPr>
      <w:r>
        <w:t>If a period of time begins on a given day or the day of an act or event, it is to be calculated exclusive of that day.</w:t>
      </w:r>
    </w:p>
    <w:p w:rsidR="004F662A" w:rsidRPr="002109ED" w:rsidP="008E30E0">
      <w:pPr>
        <w:pStyle w:val="Untitledsubclause2"/>
        <w:shd w:val="clear" w:color="auto" w:fill="auto"/>
        <w:outlineLvl w:val="9"/>
        <w:rPr>
          <w:color w:val="000000"/>
        </w:rPr>
      </w:pPr>
      <w:r>
        <w:t>A reference to time is a reference to Sydney time unless otherwise specified.</w:t>
      </w:r>
    </w:p>
    <w:p w:rsidR="004F662A" w:rsidRPr="002109ED" w:rsidP="008E30E0">
      <w:pPr>
        <w:pStyle w:val="Untitledsubclause2"/>
        <w:shd w:val="clear" w:color="auto" w:fill="auto"/>
        <w:outlineLvl w:val="9"/>
        <w:rPr>
          <w:color w:val="000000"/>
        </w:rPr>
      </w:pPr>
      <w:r>
        <w:t>A reference to a day is to be interpreted as the period of time commencing at midnight and ending 24 hours later.</w:t>
      </w:r>
    </w:p>
    <w:p w:rsidR="004F662A" w:rsidRPr="002109ED" w:rsidP="008E30E0">
      <w:pPr>
        <w:pStyle w:val="Untitledsubclause2"/>
        <w:shd w:val="clear" w:color="auto" w:fill="auto"/>
        <w:outlineLvl w:val="9"/>
        <w:rPr>
          <w:color w:val="000000"/>
        </w:rPr>
      </w:pPr>
      <w:r>
        <w:t>If any act is required to be performed under this Agreement by a party on or by a specified day and the act is performed after 5.00 pm on that day, the act is deemed to be performed on the next day.</w:t>
      </w:r>
    </w:p>
    <w:p w:rsidR="004F662A" w:rsidRPr="002109ED" w:rsidP="008E30E0">
      <w:pPr>
        <w:pStyle w:val="Untitledsubclause2"/>
        <w:shd w:val="clear" w:color="auto" w:fill="auto"/>
        <w:outlineLvl w:val="9"/>
        <w:rPr>
          <w:color w:val="000000"/>
        </w:rPr>
      </w:pPr>
      <w:r>
        <w:t>If any act is required to be performed under this Agreement on or by a specified day and that day is not a Business Day, the act must be performed on or by the next Business Day.</w:t>
      </w:r>
    </w:p>
    <w:p w:rsidR="004F662A" w:rsidRPr="002109ED" w:rsidP="008E30E0">
      <w:pPr>
        <w:pStyle w:val="Untitledsubclause2"/>
        <w:shd w:val="clear" w:color="auto" w:fill="auto"/>
        <w:outlineLvl w:val="9"/>
        <w:rPr>
          <w:color w:val="000000"/>
        </w:rPr>
      </w:pPr>
      <w:r>
        <w:t>A reference to an amount of dollars, Australian dollars, $ or A$ is a reference to the lawful currency of the Commonwealth of Australia, unless the amount is specifically denominated in another currency.</w:t>
      </w:r>
    </w:p>
    <w:p w:rsidR="004F662A" w:rsidRPr="002109ED" w:rsidP="008E30E0">
      <w:pPr>
        <w:pStyle w:val="Untitledsubclause2"/>
        <w:shd w:val="clear" w:color="auto" w:fill="auto"/>
        <w:outlineLvl w:val="9"/>
        <w:rPr>
          <w:color w:val="000000"/>
        </w:rPr>
      </w:pPr>
      <w:r>
        <w:t>Specifying anything in this Agreement after the terms "include", "including", "includes", "for example", "such as" or any similar expression does not limit the sense of the words, description, definition, phrase or term preceding those terms unless there is express wording to the contrary.</w:t>
      </w:r>
    </w:p>
    <w:p w:rsidR="004F662A" w:rsidRPr="002109ED" w:rsidP="008E30E0">
      <w:pPr>
        <w:pStyle w:val="Untitledsubclause2"/>
        <w:shd w:val="clear" w:color="auto" w:fill="auto"/>
        <w:outlineLvl w:val="9"/>
        <w:rPr>
          <w:color w:val="000000"/>
        </w:rPr>
      </w:pPr>
      <w:r>
        <w:t>This Agreement includes all Schedules, annexures, appendices, attachments and exhibits to it.</w:t>
      </w:r>
    </w:p>
    <w:p w:rsidR="004F662A" w:rsidP="008E30E0">
      <w:pPr>
        <w:pStyle w:val="Untitledsubclause2"/>
        <w:shd w:val="clear" w:color="auto" w:fill="auto"/>
        <w:outlineLvl w:val="9"/>
        <w:rPr>
          <w:color w:val="000000"/>
        </w:rPr>
      </w:pPr>
      <w:r>
        <w:t>A reference to "writing" or "written" includes email.</w:t>
      </w:r>
    </w:p>
    <w:p w:rsidR="004F662A" w:rsidRPr="002109ED" w:rsidP="008E30E0">
      <w:pPr>
        <w:pStyle w:val="Untitledsubclause2"/>
        <w:shd w:val="clear" w:color="auto" w:fill="auto"/>
        <w:outlineLvl w:val="9"/>
        <w:rPr>
          <w:color w:val="000000"/>
        </w:rPr>
      </w:pPr>
      <w:r>
        <w:t>References to a document in "agreed form" are to that document in the form agreed by the parties and initialled by them or on their behalf for identification.</w:t>
      </w:r>
    </w:p>
    <w:p w:rsidR="004F662A" w:rsidRPr="002109ED" w:rsidP="008E30E0">
      <w:pPr>
        <w:pStyle w:val="Untitledsubclause2"/>
        <w:shd w:val="clear" w:color="auto" w:fill="auto"/>
        <w:outlineLvl w:val="9"/>
        <w:rPr>
          <w:color w:val="000000"/>
        </w:rPr>
      </w:pPr>
      <w:r>
        <w:t>Where a word or phrase is defined, other parts of speech and grammatical forms of that word or phrase have corresponding meanings.</w:t>
      </w:r>
    </w:p>
    <w:p w:rsidR="004F662A" w:rsidRPr="002109ED" w:rsidP="008E30E0">
      <w:pPr>
        <w:pStyle w:val="Untitledsubclause2"/>
        <w:shd w:val="clear" w:color="auto" w:fill="auto"/>
        <w:outlineLvl w:val="9"/>
        <w:rPr>
          <w:color w:val="000000"/>
        </w:rPr>
      </w:pPr>
      <w:r>
        <w:t>An agreement other than this Agreement includes a deed, undertaking or legally enforceable agreement or understanding whether in writing or not.</w:t>
      </w:r>
    </w:p>
    <w:p w:rsidR="004F662A" w:rsidRPr="002109ED" w:rsidP="008E30E0">
      <w:pPr>
        <w:pStyle w:val="Untitledsubclause2"/>
        <w:shd w:val="clear" w:color="auto" w:fill="auto"/>
        <w:outlineLvl w:val="9"/>
        <w:rPr>
          <w:color w:val="000000"/>
        </w:rPr>
      </w:pPr>
      <w:r>
        <w:t>If there is any conflict between the terms of the main body of this Agreement and the terms of this Agreement's Schedules and attachments, the terms of the main body of this Agreement will prevail.</w:t>
      </w:r>
    </w:p>
    <w:p w:rsidR="004F662A" w:rsidP="008E30E0">
      <w:pPr>
        <w:pStyle w:val="TitleClause"/>
        <w:shd w:val="clear" w:color="auto" w:fill="auto"/>
        <w:outlineLvl w:val="9"/>
        <w:rPr>
          <w:color w:val="000000"/>
        </w:rPr>
      </w:pPr>
      <w:r>
        <w:t>Access and use</w:t>
      </w:r>
    </w:p>
    <w:p w:rsidR="004F662A" w:rsidP="008E30E0">
      <w:pPr>
        <w:pStyle w:val="Titlesubclause1"/>
        <w:shd w:val="clear" w:color="auto" w:fill="auto"/>
        <w:outlineLvl w:val="9"/>
        <w:rPr>
          <w:color w:val="000000"/>
        </w:rPr>
      </w:pPr>
      <w:r>
        <w:t>Right to access</w:t>
      </w:r>
    </w:p>
    <w:p w:rsidR="004F662A" w:rsidP="008E30E0">
      <w:pPr>
        <w:pStyle w:val="Parasubclause1"/>
        <w:shd w:val="clear" w:color="auto" w:fill="auto"/>
        <w:outlineLvl w:val="9"/>
        <w:rPr>
          <w:color w:val="000000"/>
        </w:rPr>
      </w:pPr>
      <w:r>
        <w:t>Subject to the terms and conditions of this Agreement, the Supplier grants the Customer a non-exclusive, non-transferable right for its Authorised Users to access and use the Services during the Term, solely for the Customer's internal use in accordance with the Documentation.</w:t>
      </w:r>
    </w:p>
    <w:p w:rsidR="004F662A" w:rsidP="008E30E0">
      <w:pPr>
        <w:pStyle w:val="Titlesubclause1"/>
        <w:shd w:val="clear" w:color="auto" w:fill="auto"/>
        <w:outlineLvl w:val="9"/>
        <w:rPr>
          <w:color w:val="000000"/>
        </w:rPr>
      </w:pPr>
      <w:r>
        <w:t>Provision of access</w:t>
      </w:r>
    </w:p>
    <w:p w:rsidR="004F662A" w:rsidP="008E30E0">
      <w:pPr>
        <w:pStyle w:val="Parasubclause1"/>
        <w:shd w:val="clear" w:color="auto" w:fill="auto"/>
        <w:outlineLvl w:val="9"/>
        <w:rPr>
          <w:color w:val="000000"/>
        </w:rPr>
      </w:pPr>
      <w:r>
        <w:t>The Supplier will provide to the Customer the necessary passwords and network links or connections to allow the Customer to access the Services.</w:t>
      </w:r>
    </w:p>
    <w:p w:rsidR="004F662A" w:rsidP="008E30E0">
      <w:pPr>
        <w:pStyle w:val="Titlesubclause1"/>
        <w:shd w:val="clear" w:color="auto" w:fill="auto"/>
        <w:outlineLvl w:val="9"/>
        <w:rPr>
          <w:color w:val="000000"/>
        </w:rPr>
      </w:pPr>
      <w:r>
        <w:t>Licence grant</w:t>
      </w:r>
    </w:p>
    <w:p w:rsidR="004F662A" w:rsidP="008E30E0">
      <w:pPr>
        <w:pStyle w:val="Parasubclause1"/>
        <w:shd w:val="clear" w:color="auto" w:fill="auto"/>
        <w:outlineLvl w:val="9"/>
        <w:rPr>
          <w:color w:val="000000"/>
        </w:rPr>
      </w:pPr>
      <w:r>
        <w:t>Subject to the terms and conditions contained in this Agreement, the Supplier grants to the Customer a non-exclusive, non-sublicensable, non-transferable (except in compliance with clause 15.3) licence to use the Documentation during the Term solely for the Customer's internal purposes in connection with its use of the Services.</w:t>
      </w:r>
    </w:p>
    <w:p w:rsidR="004F662A" w:rsidP="008E30E0">
      <w:pPr>
        <w:pStyle w:val="Titlesubclause1"/>
        <w:shd w:val="clear" w:color="auto" w:fill="auto"/>
        <w:outlineLvl w:val="9"/>
        <w:rPr>
          <w:color w:val="000000"/>
        </w:rPr>
      </w:pPr>
      <w:r>
        <w:t>Use restrictions</w:t>
      </w:r>
    </w:p>
    <w:p w:rsidR="004F662A" w:rsidP="008E30E0">
      <w:pPr>
        <w:pStyle w:val="Parasubclause1"/>
        <w:shd w:val="clear" w:color="auto" w:fill="auto"/>
        <w:outlineLvl w:val="9"/>
        <w:rPr>
          <w:color w:val="000000"/>
        </w:rPr>
      </w:pPr>
      <w:r>
        <w:t>The Customer warrants and represents that, in accessing or using the Services, it will not, and will not permit Authorised Users to:</w:t>
      </w:r>
    </w:p>
    <w:p w:rsidR="004F662A" w:rsidP="008E30E0">
      <w:pPr>
        <w:pStyle w:val="Untitledsubclause2"/>
        <w:shd w:val="clear" w:color="auto" w:fill="auto"/>
        <w:outlineLvl w:val="9"/>
        <w:rPr>
          <w:color w:val="000000"/>
        </w:rPr>
      </w:pPr>
      <w:r>
        <w:t>copy, modify or create derivative works of the Services or Documentation, in whole or in part;</w:t>
      </w:r>
    </w:p>
    <w:p w:rsidR="004F662A" w:rsidP="008E30E0">
      <w:pPr>
        <w:pStyle w:val="Untitledsubclause2"/>
        <w:shd w:val="clear" w:color="auto" w:fill="auto"/>
        <w:outlineLvl w:val="9"/>
        <w:rPr>
          <w:color w:val="000000"/>
        </w:rPr>
      </w:pPr>
      <w:r>
        <w:t>rent, lease, lend, sell, license, sublicense, assign, distribute, publish, transfer or otherwise make available the Services or Documentation;</w:t>
      </w:r>
    </w:p>
    <w:p w:rsidR="004F662A" w:rsidP="008E30E0">
      <w:pPr>
        <w:pStyle w:val="Untitledsubclause2"/>
        <w:shd w:val="clear" w:color="auto" w:fill="auto"/>
        <w:outlineLvl w:val="9"/>
        <w:rPr>
          <w:color w:val="000000"/>
        </w:rPr>
      </w:pPr>
      <w:r>
        <w:t>reverse engineer, disassemble, decompile, decode, adapt or otherwise attempt to derive or gain access to any software component of the Services, in whole or in part;</w:t>
      </w:r>
    </w:p>
    <w:p w:rsidR="004F662A" w:rsidP="008E30E0">
      <w:pPr>
        <w:pStyle w:val="Untitledsubclause2"/>
        <w:shd w:val="clear" w:color="auto" w:fill="auto"/>
        <w:outlineLvl w:val="9"/>
        <w:rPr>
          <w:color w:val="000000"/>
        </w:rPr>
      </w:pPr>
      <w:r>
        <w:t>remove any proprietary notices from the Services or Documentation; or</w:t>
      </w:r>
    </w:p>
    <w:p w:rsidR="004F662A" w:rsidP="008E30E0">
      <w:pPr>
        <w:pStyle w:val="Untitledsubclause2"/>
        <w:shd w:val="clear" w:color="auto" w:fill="auto"/>
        <w:outlineLvl w:val="9"/>
        <w:rPr>
          <w:color w:val="000000"/>
        </w:rPr>
      </w:pPr>
      <w:r>
        <w:t>use the Services or Documentation in any manner or for any purpose that infringes, or involves an unauthorised use or disclosure of Intellectual Property Rights or other rights of any person, or that violates any applicable law.</w:t>
      </w:r>
    </w:p>
    <w:p w:rsidR="004F662A" w:rsidP="008E30E0">
      <w:pPr>
        <w:pStyle w:val="Titlesubclause1"/>
        <w:shd w:val="clear" w:color="auto" w:fill="auto"/>
        <w:outlineLvl w:val="9"/>
        <w:rPr>
          <w:color w:val="000000"/>
        </w:rPr>
      </w:pPr>
      <w:r>
        <w:t>Reservation of rights</w:t>
      </w:r>
    </w:p>
    <w:p w:rsidR="004F662A" w:rsidP="008E30E0">
      <w:pPr>
        <w:pStyle w:val="Parasubclause1"/>
        <w:shd w:val="clear" w:color="auto" w:fill="auto"/>
        <w:outlineLvl w:val="9"/>
        <w:rPr>
          <w:color w:val="000000"/>
        </w:rPr>
      </w:pPr>
      <w:r>
        <w:t>The Supplier reserves all rights not expressly granted to the Customer in this Agreement. Except for the limited rights and licenses expressly granted under this Agreement, nothing in this Agreement grants, by implication, waiver, estoppel or otherwise, to the Customer or any third party any Intellectual Property Rights or other right, title or interest in or to the Supplier IP.</w:t>
      </w:r>
    </w:p>
    <w:p w:rsidR="004F662A" w:rsidP="008E30E0">
      <w:pPr>
        <w:pStyle w:val="Titlesubclause1"/>
        <w:shd w:val="clear" w:color="auto" w:fill="auto"/>
        <w:outlineLvl w:val="9"/>
        <w:rPr>
          <w:color w:val="000000"/>
        </w:rPr>
      </w:pPr>
      <w:r>
        <w:t>Suspension of access</w:t>
      </w:r>
    </w:p>
    <w:p w:rsidR="004F662A" w:rsidP="008E30E0">
      <w:pPr>
        <w:pStyle w:val="Parasubclause1"/>
        <w:shd w:val="clear" w:color="auto" w:fill="auto"/>
        <w:outlineLvl w:val="9"/>
        <w:rPr>
          <w:color w:val="000000"/>
        </w:rPr>
      </w:pPr>
      <w:r>
        <w:t>Notwithstanding anything to the contrary in this Agreement, the Supplier may temporarily suspend the Customer's or one or more Authorised User's access to any portion or all of the Services if:</w:t>
      </w:r>
    </w:p>
    <w:p w:rsidR="004F662A" w:rsidP="008E30E0">
      <w:pPr>
        <w:pStyle w:val="Untitledsubclause2"/>
        <w:shd w:val="clear" w:color="auto" w:fill="auto"/>
        <w:outlineLvl w:val="9"/>
        <w:rPr>
          <w:color w:val="000000"/>
        </w:rPr>
      </w:pPr>
      <w:r>
        <w:t>the Supplier reasonably determines that:</w:t>
      </w:r>
    </w:p>
    <w:p w:rsidR="004F662A" w:rsidP="008E30E0">
      <w:pPr>
        <w:pStyle w:val="Untitledsubclause3"/>
        <w:shd w:val="clear" w:color="auto" w:fill="auto"/>
        <w:outlineLvl w:val="9"/>
        <w:rPr>
          <w:color w:val="000000"/>
        </w:rPr>
      </w:pPr>
      <w:r>
        <w:t>there is a threat or attack on any of the Supplier IP;</w:t>
      </w:r>
    </w:p>
    <w:p w:rsidR="004F662A" w:rsidP="008E30E0">
      <w:pPr>
        <w:pStyle w:val="Untitledsubclause3"/>
        <w:shd w:val="clear" w:color="auto" w:fill="auto"/>
        <w:outlineLvl w:val="9"/>
        <w:rPr>
          <w:color w:val="000000"/>
        </w:rPr>
      </w:pPr>
      <w:r>
        <w:t>the Customer's or any Authorised User's use of the Supplier IP disrupts or poses a security risk to the Supplier IP or to any other customer or vendor of the Supplier;</w:t>
      </w:r>
    </w:p>
    <w:p w:rsidR="004F662A" w:rsidP="008E30E0">
      <w:pPr>
        <w:pStyle w:val="Untitledsubclause3"/>
        <w:shd w:val="clear" w:color="auto" w:fill="auto"/>
        <w:outlineLvl w:val="9"/>
        <w:rPr>
          <w:color w:val="000000"/>
        </w:rPr>
      </w:pPr>
      <w:r>
        <w:t>the Customer, or any Authorised User, is using the Supplier IP for fraudulent or illegal activities; or</w:t>
      </w:r>
    </w:p>
    <w:p w:rsidR="004F662A" w:rsidP="008E30E0">
      <w:pPr>
        <w:pStyle w:val="Untitledsubclause3"/>
        <w:shd w:val="clear" w:color="auto" w:fill="auto"/>
        <w:outlineLvl w:val="9"/>
        <w:rPr>
          <w:color w:val="000000"/>
        </w:rPr>
      </w:pPr>
      <w:r>
        <w:t>the Supplier's provision of the Services to the Customer or any Authorised User is prohibited by applicable law;</w:t>
      </w:r>
    </w:p>
    <w:p w:rsidR="004F662A" w:rsidP="008E30E0">
      <w:pPr>
        <w:pStyle w:val="Untitledsubclause2"/>
        <w:shd w:val="clear" w:color="auto" w:fill="auto"/>
        <w:outlineLvl w:val="9"/>
        <w:rPr>
          <w:color w:val="000000"/>
        </w:rPr>
      </w:pPr>
      <w:r>
        <w:t>any vendor of the Supplier has suspended or terminated the Supplier's access to or use of any third-party services or products required to enable the Customer to access the Services; or</w:t>
      </w:r>
    </w:p>
    <w:p w:rsidR="004F662A" w:rsidRPr="009E58EF" w:rsidP="008E30E0">
      <w:pPr>
        <w:pStyle w:val="Untitledsubclause2"/>
        <w:shd w:val="clear" w:color="auto" w:fill="auto"/>
        <w:outlineLvl w:val="9"/>
        <w:rPr>
          <w:color w:val="000000"/>
        </w:rPr>
      </w:pPr>
      <w:r>
        <w:t>in accordance with clause 5.2.</w:t>
      </w:r>
    </w:p>
    <w:p w:rsidR="004F662A" w:rsidP="008E30E0">
      <w:pPr>
        <w:pStyle w:val="Titlesubclause1"/>
        <w:shd w:val="clear" w:color="auto" w:fill="auto"/>
        <w:outlineLvl w:val="9"/>
        <w:rPr>
          <w:color w:val="000000"/>
        </w:rPr>
      </w:pPr>
      <w:r>
        <w:t>Obligations of Supplier: Service Suspension</w:t>
      </w:r>
    </w:p>
    <w:p w:rsidR="004F662A" w:rsidP="008E30E0">
      <w:pPr>
        <w:pStyle w:val="Parasubclause1"/>
        <w:shd w:val="clear" w:color="auto" w:fill="auto"/>
        <w:outlineLvl w:val="9"/>
        <w:rPr>
          <w:color w:val="000000"/>
        </w:rPr>
      </w:pPr>
      <w:r>
        <w:t>The Supplier will use reasonable endeavours to:</w:t>
      </w:r>
    </w:p>
    <w:p w:rsidR="004F662A" w:rsidP="008E30E0">
      <w:pPr>
        <w:pStyle w:val="Untitledsubclause2"/>
        <w:shd w:val="clear" w:color="auto" w:fill="auto"/>
        <w:outlineLvl w:val="9"/>
        <w:rPr>
          <w:color w:val="000000"/>
        </w:rPr>
      </w:pPr>
      <w:r>
        <w:t>provide Notice of any Service Suspension to the Customer and to provide updates regarding resumption of access to the Services following any Service Suspension; and</w:t>
      </w:r>
    </w:p>
    <w:p w:rsidR="004F662A" w:rsidP="008E30E0">
      <w:pPr>
        <w:pStyle w:val="Untitledsubclause2"/>
        <w:shd w:val="clear" w:color="auto" w:fill="auto"/>
        <w:outlineLvl w:val="9"/>
        <w:rPr>
          <w:color w:val="000000"/>
        </w:rPr>
      </w:pPr>
      <w:r>
        <w:t>resume providing access to the Services as soon as reasonably possible after the event giving rise to the Service Suspension is cured.</w:t>
      </w:r>
    </w:p>
    <w:p w:rsidR="004F662A" w:rsidP="008E30E0">
      <w:pPr>
        <w:pStyle w:val="Titlesubclause1"/>
        <w:shd w:val="clear" w:color="auto" w:fill="auto"/>
        <w:outlineLvl w:val="9"/>
        <w:rPr>
          <w:color w:val="000000"/>
        </w:rPr>
      </w:pPr>
      <w:r>
        <w:t>Collection and use of Aggregated Statistics</w:t>
      </w:r>
    </w:p>
    <w:p w:rsidR="004F662A" w:rsidP="008E30E0">
      <w:pPr>
        <w:pStyle w:val="Parasubclause1"/>
        <w:shd w:val="clear" w:color="auto" w:fill="auto"/>
        <w:outlineLvl w:val="9"/>
        <w:rPr>
          <w:color w:val="000000"/>
        </w:rPr>
      </w:pPr>
      <w:r>
        <w:t>Notwithstanding anything to the contrary in this Agreement, the Customer acknowledges and agrees that the Supplier:</w:t>
      </w:r>
    </w:p>
    <w:p w:rsidR="004F662A" w:rsidRPr="00E015CD" w:rsidP="008E30E0">
      <w:pPr>
        <w:pStyle w:val="Untitledsubclause2"/>
        <w:shd w:val="clear" w:color="auto" w:fill="auto"/>
        <w:outlineLvl w:val="9"/>
        <w:rPr>
          <w:color w:val="000000"/>
        </w:rPr>
      </w:pPr>
      <w:r>
        <w:t>may monitor the Customer's use of the Services and collect and compile Aggregated Statistics based on Customer Data input into the Services;</w:t>
      </w:r>
    </w:p>
    <w:p w:rsidR="004F662A" w:rsidP="008E30E0">
      <w:pPr>
        <w:pStyle w:val="Untitledsubclause2"/>
        <w:shd w:val="clear" w:color="auto" w:fill="auto"/>
        <w:outlineLvl w:val="9"/>
        <w:rPr>
          <w:color w:val="000000"/>
        </w:rPr>
      </w:pPr>
      <w:r>
        <w:t>retains all right, title, interest and Intellectual Property Rights in the Aggregated Statistics; and</w:t>
      </w:r>
    </w:p>
    <w:p w:rsidR="004F662A" w:rsidP="008E30E0">
      <w:pPr>
        <w:pStyle w:val="Untitledsubclause2"/>
        <w:shd w:val="clear" w:color="auto" w:fill="auto"/>
        <w:outlineLvl w:val="9"/>
        <w:rPr>
          <w:color w:val="000000"/>
        </w:rPr>
      </w:pPr>
      <w:r>
        <w:t>may make Aggregated Statistics publicly available in compliance with applicable law and use Aggregated Statistics to the extent and in the manner permitted under applicable law, provided that such Aggregated Statistics do not identify the Customer, any patient, any Authorised User or the Customer's Confidential Information.</w:t>
      </w:r>
    </w:p>
    <w:p w:rsidR="004F662A" w:rsidP="008E30E0">
      <w:pPr>
        <w:pStyle w:val="TitleClause"/>
        <w:shd w:val="clear" w:color="auto" w:fill="auto"/>
        <w:outlineLvl w:val="9"/>
        <w:rPr>
          <w:color w:val="000000"/>
        </w:rPr>
      </w:pPr>
      <w:r>
        <w:t>Customer responsibilities</w:t>
      </w:r>
    </w:p>
    <w:p w:rsidR="004F662A" w:rsidP="008E30E0">
      <w:pPr>
        <w:pStyle w:val="Titlesubclause1"/>
        <w:shd w:val="clear" w:color="auto" w:fill="auto"/>
        <w:outlineLvl w:val="9"/>
        <w:rPr>
          <w:color w:val="000000"/>
        </w:rPr>
      </w:pPr>
      <w:r>
        <w:t>Customer responsible for use of Services and Documentation</w:t>
      </w:r>
    </w:p>
    <w:p w:rsidR="004F662A" w:rsidP="008E30E0">
      <w:pPr>
        <w:pStyle w:val="Parasubclause1"/>
        <w:shd w:val="clear" w:color="auto" w:fill="auto"/>
        <w:outlineLvl w:val="9"/>
        <w:rPr>
          <w:color w:val="000000"/>
        </w:rPr>
      </w:pPr>
      <w:r>
        <w:t>The Customer is responsible and liable for all uses of the Services and Documentation resulting from access provided by the Customer, directly or indirectly, whether such access or use is permitted by or in violation of this Agreement.</w:t>
      </w:r>
    </w:p>
    <w:p w:rsidR="004F662A" w:rsidP="008E30E0">
      <w:pPr>
        <w:pStyle w:val="Titlesubclause1"/>
        <w:shd w:val="clear" w:color="auto" w:fill="auto"/>
        <w:outlineLvl w:val="9"/>
        <w:rPr>
          <w:color w:val="000000"/>
        </w:rPr>
      </w:pPr>
      <w:r>
        <w:t>Customer responsible for Authorised Users</w:t>
      </w:r>
    </w:p>
    <w:p w:rsidR="004F662A" w:rsidP="008E30E0">
      <w:pPr>
        <w:pStyle w:val="Parasubclause1"/>
        <w:shd w:val="clear" w:color="auto" w:fill="auto"/>
        <w:outlineLvl w:val="9"/>
        <w:rPr>
          <w:color w:val="000000"/>
        </w:rPr>
      </w:pPr>
      <w:r>
        <w:t>Without limiting the generality of clause 3.1, the Customer is responsible for all acts and omissions of Authorised Users, and any act or omission by an Authorised User that would constitute a breach of this Agreement will be deemed a breach of this Agreement by the Customer.</w:t>
      </w:r>
    </w:p>
    <w:p w:rsidR="004F662A" w:rsidP="008E30E0">
      <w:pPr>
        <w:pStyle w:val="Titlesubclause1"/>
        <w:shd w:val="clear" w:color="auto" w:fill="auto"/>
        <w:outlineLvl w:val="9"/>
        <w:rPr>
          <w:color w:val="000000"/>
        </w:rPr>
      </w:pPr>
      <w:r>
        <w:t>Customer to notify Authorised Users</w:t>
      </w:r>
    </w:p>
    <w:p w:rsidR="004F662A" w:rsidP="008E30E0">
      <w:pPr>
        <w:pStyle w:val="Parasubclause1"/>
        <w:shd w:val="clear" w:color="auto" w:fill="auto"/>
        <w:outlineLvl w:val="9"/>
        <w:rPr>
          <w:color w:val="000000"/>
        </w:rPr>
      </w:pPr>
      <w:r>
        <w:t>The Customer must use reasonable endeavours to make all Authorised Users aware of this Agreement's provisions as applicable to such Authorised User's use of the Services, and must cause Authorised Users to comply with such provisions.</w:t>
      </w:r>
    </w:p>
    <w:p w:rsidR="004F662A" w:rsidP="008E30E0">
      <w:pPr>
        <w:pStyle w:val="Titlesubclause1"/>
        <w:shd w:val="clear" w:color="auto" w:fill="auto"/>
        <w:outlineLvl w:val="9"/>
        <w:rPr>
          <w:color w:val="000000"/>
        </w:rPr>
      </w:pPr>
      <w:r>
        <w:t>Third-Party Products</w:t>
      </w:r>
    </w:p>
    <w:p w:rsidR="004F662A" w:rsidP="008E30E0">
      <w:pPr>
        <w:pStyle w:val="Parasubclause1"/>
        <w:shd w:val="clear" w:color="auto" w:fill="auto"/>
        <w:outlineLvl w:val="9"/>
        <w:rPr>
          <w:color w:val="000000"/>
        </w:rPr>
      </w:pPr>
      <w:r>
        <w:t>The Supplier may make Third-Party Products available to the Customer from time to time and such Third-Party Products are subject to their own terms and conditions. The Supplier does not control and has no liability for Third-Party Products.</w:t>
      </w:r>
    </w:p>
    <w:p w:rsidR="004F662A" w:rsidP="008E30E0">
      <w:pPr>
        <w:pStyle w:val="TitleClause"/>
        <w:shd w:val="clear" w:color="auto" w:fill="auto"/>
        <w:outlineLvl w:val="9"/>
        <w:rPr>
          <w:color w:val="000000"/>
        </w:rPr>
      </w:pPr>
      <w:r>
        <w:t>Service Levels and Support Services</w:t>
      </w:r>
    </w:p>
    <w:p w:rsidR="004F662A" w:rsidP="008E30E0">
      <w:pPr>
        <w:pStyle w:val="Titlesubclause1"/>
        <w:shd w:val="clear" w:color="auto" w:fill="auto"/>
        <w:outlineLvl w:val="9"/>
        <w:rPr>
          <w:color w:val="000000"/>
        </w:rPr>
      </w:pPr>
      <w:r>
        <w:t>Service Levels</w:t>
      </w:r>
    </w:p>
    <w:p w:rsidR="004F662A" w:rsidP="008E30E0">
      <w:pPr>
        <w:pStyle w:val="Parasubclause1"/>
        <w:shd w:val="clear" w:color="auto" w:fill="auto"/>
        <w:outlineLvl w:val="9"/>
        <w:rPr>
          <w:color w:val="000000"/>
        </w:rPr>
      </w:pPr>
      <w:r>
        <w:t>The access rights granted under clause 2.1 entitle the Customer to the Service Levels for the Term.</w:t>
      </w:r>
    </w:p>
    <w:p w:rsidR="004F662A" w:rsidP="008E30E0">
      <w:pPr>
        <w:pStyle w:val="Titlesubclause1"/>
        <w:shd w:val="clear" w:color="auto" w:fill="auto"/>
        <w:outlineLvl w:val="9"/>
        <w:rPr>
          <w:color w:val="000000"/>
        </w:rPr>
      </w:pPr>
      <w:r>
        <w:t>Support Services</w:t>
      </w:r>
    </w:p>
    <w:p w:rsidR="004F662A" w:rsidP="008E30E0">
      <w:pPr>
        <w:pStyle w:val="Parasubclause1"/>
        <w:shd w:val="clear" w:color="auto" w:fill="auto"/>
        <w:outlineLvl w:val="9"/>
        <w:rPr>
          <w:color w:val="000000"/>
        </w:rPr>
      </w:pPr>
      <w:r>
        <w:t>The access rights granted under clause 2.1 entitle the Customer to the Support Services during the Term.</w:t>
      </w:r>
    </w:p>
    <w:p w:rsidR="004F662A" w:rsidP="008E30E0">
      <w:pPr>
        <w:pStyle w:val="TitleClause"/>
        <w:shd w:val="clear" w:color="auto" w:fill="auto"/>
        <w:outlineLvl w:val="9"/>
        <w:rPr>
          <w:color w:val="000000"/>
        </w:rPr>
      </w:pPr>
      <w:r>
        <w:t>Fees and payment</w:t>
      </w:r>
    </w:p>
    <w:p w:rsidR="004F662A" w:rsidP="008E30E0">
      <w:pPr>
        <w:pStyle w:val="Titlesubclause1"/>
        <w:shd w:val="clear" w:color="auto" w:fill="auto"/>
        <w:outlineLvl w:val="9"/>
        <w:rPr>
          <w:color w:val="000000"/>
        </w:rPr>
      </w:pPr>
      <w:r>
        <w:t>Fees</w:t>
      </w:r>
    </w:p>
    <w:p w:rsidR="004F662A" w:rsidP="008E30E0">
      <w:pPr>
        <w:pStyle w:val="Parasubclause1"/>
        <w:shd w:val="clear" w:color="auto" w:fill="auto"/>
        <w:outlineLvl w:val="9"/>
        <w:rPr>
          <w:color w:val="000000"/>
        </w:rPr>
      </w:pPr>
      <w:r>
        <w:t>The Customer must pay the Supplier the Fees as set forth in Part 2 of Schedule 1 without offset or deduction.</w:t>
      </w:r>
    </w:p>
    <w:p w:rsidR="004F662A" w:rsidP="008E30E0">
      <w:pPr>
        <w:pStyle w:val="Titlesubclause1"/>
        <w:shd w:val="clear" w:color="auto" w:fill="auto"/>
        <w:outlineLvl w:val="9"/>
        <w:rPr>
          <w:color w:val="000000"/>
        </w:rPr>
      </w:pPr>
      <w:r>
        <w:t>Suspension for failure to make payment</w:t>
      </w:r>
    </w:p>
    <w:p w:rsidR="004F662A" w:rsidP="008E30E0">
      <w:pPr>
        <w:pStyle w:val="Parasubclause1"/>
        <w:shd w:val="clear" w:color="auto" w:fill="auto"/>
        <w:outlineLvl w:val="9"/>
        <w:rPr>
          <w:color w:val="000000"/>
        </w:rPr>
      </w:pPr>
      <w:r>
        <w:t>If the Customer fails to make any payment when due, and such failure continues for 14 days or more, without limiting the Supplier's other rights and remedies, the Supplier may suspend the Customer's and its Authorised Users' access to any portion or all of the Services until such amounts are paid in full.</w:t>
      </w:r>
    </w:p>
    <w:p w:rsidR="004F662A" w:rsidP="008E30E0">
      <w:pPr>
        <w:pStyle w:val="TitleClause"/>
        <w:shd w:val="clear" w:color="auto" w:fill="auto"/>
        <w:outlineLvl w:val="9"/>
        <w:rPr>
          <w:color w:val="000000"/>
        </w:rPr>
      </w:pPr>
      <w:r>
        <w:t>Goods and services tax</w:t>
      </w:r>
    </w:p>
    <w:p w:rsidR="004F662A" w:rsidRPr="002109ED" w:rsidP="008E30E0">
      <w:pPr>
        <w:pStyle w:val="Titlesubclause1"/>
        <w:shd w:val="clear" w:color="auto" w:fill="auto"/>
        <w:outlineLvl w:val="9"/>
        <w:rPr>
          <w:color w:val="000000"/>
        </w:rPr>
      </w:pPr>
      <w:r>
        <w:t>Definitions</w:t>
      </w:r>
    </w:p>
    <w:p w:rsidR="004F662A" w:rsidRPr="002109ED" w:rsidP="008E30E0">
      <w:pPr>
        <w:pStyle w:val="Parasubclause1"/>
        <w:shd w:val="clear" w:color="auto" w:fill="auto"/>
        <w:outlineLvl w:val="9"/>
        <w:rPr>
          <w:color w:val="000000"/>
        </w:rPr>
      </w:pPr>
      <w:r>
        <w:t>Words used in this clause 6 that have a defined meaning in the GST Law have the same meaning as in the GST Law unless the context indicates otherwise.</w:t>
      </w:r>
    </w:p>
    <w:p w:rsidR="004F662A" w:rsidRPr="002109ED" w:rsidP="008E30E0">
      <w:pPr>
        <w:pStyle w:val="Titlesubclause1"/>
        <w:shd w:val="clear" w:color="auto" w:fill="auto"/>
        <w:outlineLvl w:val="9"/>
        <w:rPr>
          <w:color w:val="000000"/>
        </w:rPr>
      </w:pPr>
      <w:r>
        <w:t>GST</w:t>
      </w:r>
    </w:p>
    <w:p w:rsidR="004F662A" w:rsidRPr="002109ED" w:rsidP="008E30E0">
      <w:pPr>
        <w:pStyle w:val="Untitledsubclause2"/>
        <w:shd w:val="clear" w:color="auto" w:fill="auto"/>
        <w:outlineLvl w:val="9"/>
        <w:rPr>
          <w:color w:val="000000"/>
        </w:rPr>
      </w:pPr>
      <w:r>
        <w:t>Unless expressly stated otherwise, the consideration for any supply under or in connection with this Agreement is exclusive of GST.</w:t>
      </w:r>
    </w:p>
    <w:p w:rsidR="004F662A" w:rsidRPr="002109ED" w:rsidP="008E30E0">
      <w:pPr>
        <w:pStyle w:val="Untitledsubclause2"/>
        <w:shd w:val="clear" w:color="auto" w:fill="auto"/>
        <w:outlineLvl w:val="9"/>
        <w:rPr>
          <w:color w:val="000000"/>
        </w:rPr>
      </w:pPr>
      <w:r>
        <w:t>To the extent that any supply made under or in connection with this Agreement is a taxable supply (other than any supply made under another agreement that contains a specific provision dealing with GST), the amount payable by the Customer is the consideration provided under this Agreement for that supply (unless it expressly includes GST) plus an amount (Additional Amount) equal to the amount of that consideration (or its GST exclusive market value) multiplied by the rate at which GST is imposed in respect of the supply.</w:t>
      </w:r>
    </w:p>
    <w:p w:rsidR="004F662A" w:rsidRPr="002109ED" w:rsidP="008E30E0">
      <w:pPr>
        <w:pStyle w:val="Untitledsubclause2"/>
        <w:shd w:val="clear" w:color="auto" w:fill="auto"/>
        <w:outlineLvl w:val="9"/>
        <w:rPr>
          <w:color w:val="000000"/>
        </w:rPr>
      </w:pPr>
      <w:r>
        <w:t>The Customer must pay the Additional Amount at the same time as the consideration to which it is referable, and on the issue of an invoice relating to the supply.</w:t>
      </w:r>
    </w:p>
    <w:p w:rsidR="004F662A" w:rsidRPr="002109ED" w:rsidP="008E30E0">
      <w:pPr>
        <w:pStyle w:val="Untitledsubclause2"/>
        <w:shd w:val="clear" w:color="auto" w:fill="auto"/>
        <w:outlineLvl w:val="9"/>
        <w:rPr>
          <w:color w:val="000000"/>
        </w:rPr>
      </w:pPr>
      <w:r>
        <w:t>Whenever an adjustment event occurs in relation to any taxable supply to which clause 6.2(b) applies:</w:t>
      </w:r>
    </w:p>
    <w:p w:rsidR="004F662A" w:rsidRPr="002109ED" w:rsidP="008E30E0">
      <w:pPr>
        <w:pStyle w:val="Untitledsubclause3"/>
        <w:shd w:val="clear" w:color="auto" w:fill="auto"/>
        <w:outlineLvl w:val="9"/>
        <w:rPr>
          <w:color w:val="000000"/>
        </w:rPr>
      </w:pPr>
      <w:r>
        <w:t>the Supplier must determine the amount of the GST component of the consideration payable; and</w:t>
      </w:r>
    </w:p>
    <w:p w:rsidR="004F662A" w:rsidRPr="002109ED" w:rsidP="008E30E0">
      <w:pPr>
        <w:pStyle w:val="Untitledsubclause3"/>
        <w:shd w:val="clear" w:color="auto" w:fill="auto"/>
        <w:outlineLvl w:val="9"/>
        <w:rPr>
          <w:color w:val="000000"/>
        </w:rPr>
      </w:pPr>
      <w:r>
        <w:t>if the GST component of that consideration differs from the amount previously paid, the amount of the difference must be paid by, refunded to or credited to the recipient, as applicable.</w:t>
      </w:r>
    </w:p>
    <w:p w:rsidR="004F662A" w:rsidRPr="002109ED" w:rsidP="008E30E0">
      <w:pPr>
        <w:pStyle w:val="Titlesubclause1"/>
        <w:shd w:val="clear" w:color="auto" w:fill="auto"/>
        <w:outlineLvl w:val="9"/>
        <w:rPr>
          <w:color w:val="000000"/>
        </w:rPr>
      </w:pPr>
      <w:r>
        <w:t>Reimbursements</w:t>
      </w:r>
    </w:p>
    <w:p w:rsidR="004F662A" w:rsidRPr="002109ED" w:rsidP="008E30E0">
      <w:pPr>
        <w:pStyle w:val="Parasubclause1"/>
        <w:shd w:val="clear" w:color="auto" w:fill="auto"/>
        <w:outlineLvl w:val="9"/>
        <w:rPr>
          <w:color w:val="000000"/>
        </w:rPr>
      </w:pPr>
      <w:r>
        <w:t>If either party is entitled under this Agreement to be reimbursed or indemnified by the other party for a cost or expense incurred in connection with this Agreement, the reimbursement or indemnity payment must not include any GST component of the cost or expense to the extent that the cost or expense is the consideration for a creditable acquisition made by the party being reimbursed or indemnified, or by its representative member.</w:t>
      </w:r>
    </w:p>
    <w:p w:rsidR="004F662A" w:rsidP="008E30E0">
      <w:pPr>
        <w:pStyle w:val="TitleClause"/>
        <w:shd w:val="clear" w:color="auto" w:fill="auto"/>
        <w:outlineLvl w:val="9"/>
        <w:rPr>
          <w:color w:val="000000"/>
        </w:rPr>
      </w:pPr>
      <w:r>
        <w:t>Confidential Information</w:t>
      </w:r>
    </w:p>
    <w:p w:rsidR="004F662A" w:rsidP="008E30E0">
      <w:pPr>
        <w:pStyle w:val="Titlesubclause1"/>
        <w:shd w:val="clear" w:color="auto" w:fill="auto"/>
        <w:outlineLvl w:val="9"/>
        <w:rPr>
          <w:color w:val="000000"/>
        </w:rPr>
      </w:pPr>
      <w:r>
        <w:t>Confidentiality obligations</w:t>
      </w:r>
    </w:p>
    <w:p w:rsidR="004F662A" w:rsidP="008E30E0">
      <w:pPr>
        <w:pStyle w:val="Parasubclause1"/>
        <w:shd w:val="clear" w:color="auto" w:fill="auto"/>
        <w:outlineLvl w:val="9"/>
        <w:rPr>
          <w:color w:val="000000"/>
        </w:rPr>
      </w:pPr>
      <w:r>
        <w:t>Each party (in this clause 7 a Recipient) must keep secret and confidential and not disclose any Confidential Information that is disclosed to the Recipient by the other party, its representatives or advisers except:</w:t>
      </w:r>
    </w:p>
    <w:p w:rsidR="004F662A" w:rsidP="008E30E0">
      <w:pPr>
        <w:pStyle w:val="Untitledsubclause2"/>
        <w:shd w:val="clear" w:color="auto" w:fill="auto"/>
        <w:outlineLvl w:val="9"/>
        <w:rPr>
          <w:color w:val="000000"/>
        </w:rPr>
      </w:pPr>
      <w:r>
        <w:t>where the information is in the public domain as at the date of this Agreement (or subsequently becomes in the public domain other than by breach of any obligation of confidentiality binding on the Recipient);</w:t>
      </w:r>
    </w:p>
    <w:p w:rsidR="004F662A" w:rsidP="008E30E0">
      <w:pPr>
        <w:pStyle w:val="Untitledsubclause2"/>
        <w:shd w:val="clear" w:color="auto" w:fill="auto"/>
        <w:outlineLvl w:val="9"/>
        <w:rPr>
          <w:color w:val="000000"/>
        </w:rPr>
      </w:pPr>
      <w:r>
        <w:t>if the Recipient is required to disclose the information by applicable law or the rules of any recognised securities exchange, provided that the Recipient has, to the extent practicable having regard to those obligations and the required timing of the disclosure, consulted with the other party as to the form and content of the disclosure;</w:t>
      </w:r>
    </w:p>
    <w:p w:rsidR="004F662A" w:rsidP="008E30E0">
      <w:pPr>
        <w:pStyle w:val="Untitledsubclause2"/>
        <w:shd w:val="clear" w:color="auto" w:fill="auto"/>
        <w:outlineLvl w:val="9"/>
        <w:rPr>
          <w:color w:val="000000"/>
        </w:rPr>
      </w:pPr>
      <w:r>
        <w:t>where the disclosure is expressly permitted under this Agreement;</w:t>
      </w:r>
    </w:p>
    <w:p w:rsidR="004F662A" w:rsidP="008E30E0">
      <w:pPr>
        <w:pStyle w:val="Untitledsubclause2"/>
        <w:shd w:val="clear" w:color="auto" w:fill="auto"/>
        <w:outlineLvl w:val="9"/>
        <w:rPr>
          <w:color w:val="000000"/>
        </w:rPr>
      </w:pPr>
      <w:r>
        <w:t>if disclosure is made to its officers, employees and professional advisers to the extent necessary to enable the Recipient to properly perform its obligations under this Agreement or to conduct their business generally, in which case, the Recipient must ensure that such persons keep the information secret and confidential and do not disclose the information to any other person; or</w:t>
      </w:r>
    </w:p>
    <w:p w:rsidR="004F662A" w:rsidP="008E30E0">
      <w:pPr>
        <w:pStyle w:val="Untitledsubclause2"/>
        <w:shd w:val="clear" w:color="auto" w:fill="auto"/>
        <w:outlineLvl w:val="9"/>
        <w:rPr>
          <w:color w:val="000000"/>
        </w:rPr>
      </w:pPr>
      <w:r>
        <w:t>if the party to whom the information relates has consented in writing before the disclosure.</w:t>
      </w:r>
    </w:p>
    <w:p w:rsidR="004F662A" w:rsidP="008E30E0">
      <w:pPr>
        <w:pStyle w:val="Titlesubclause1"/>
        <w:shd w:val="clear" w:color="auto" w:fill="auto"/>
        <w:outlineLvl w:val="9"/>
        <w:rPr>
          <w:color w:val="000000"/>
        </w:rPr>
      </w:pPr>
      <w:r>
        <w:t>Use only in accordance with agreement</w:t>
      </w:r>
    </w:p>
    <w:p w:rsidR="004F662A" w:rsidP="008E30E0">
      <w:pPr>
        <w:pStyle w:val="Parasubclause1"/>
        <w:shd w:val="clear" w:color="auto" w:fill="auto"/>
        <w:outlineLvl w:val="9"/>
        <w:rPr>
          <w:color w:val="000000"/>
        </w:rPr>
      </w:pPr>
      <w:r>
        <w:t>The Recipient must not use the other party's Confidential Information except for the purpose of exercising or performing its rights and obligations under or in connection with this Agreement.</w:t>
      </w:r>
    </w:p>
    <w:p w:rsidR="004F662A" w:rsidP="008E30E0">
      <w:pPr>
        <w:pStyle w:val="Titlesubclause1"/>
        <w:shd w:val="clear" w:color="auto" w:fill="auto"/>
        <w:outlineLvl w:val="9"/>
        <w:rPr>
          <w:color w:val="000000"/>
        </w:rPr>
      </w:pPr>
      <w:r>
        <w:t>Ensuring compliance</w:t>
      </w:r>
    </w:p>
    <w:p w:rsidR="004F662A" w:rsidP="008E30E0">
      <w:pPr>
        <w:pStyle w:val="Parasubclause1"/>
        <w:shd w:val="clear" w:color="auto" w:fill="auto"/>
        <w:outlineLvl w:val="9"/>
        <w:rPr>
          <w:color w:val="000000"/>
        </w:rPr>
      </w:pPr>
      <w:r>
        <w:t>Each Recipient must ensure that its directors, officers, employees, agents, representatives and Related Bodies Corporate comply in all respects with the Recipient's obligations under this clause 7.</w:t>
      </w:r>
    </w:p>
    <w:p w:rsidR="004F662A" w:rsidP="008E30E0">
      <w:pPr>
        <w:pStyle w:val="TitleClause"/>
        <w:shd w:val="clear" w:color="auto" w:fill="auto"/>
        <w:outlineLvl w:val="9"/>
        <w:rPr>
          <w:color w:val="000000"/>
        </w:rPr>
      </w:pPr>
      <w:r>
        <w:t>Intellectual property</w:t>
      </w:r>
    </w:p>
    <w:p w:rsidR="004F662A" w:rsidP="008E30E0">
      <w:pPr>
        <w:pStyle w:val="Titlesubclause1"/>
        <w:shd w:val="clear" w:color="auto" w:fill="auto"/>
        <w:outlineLvl w:val="9"/>
        <w:rPr>
          <w:color w:val="000000"/>
        </w:rPr>
      </w:pPr>
      <w:r>
        <w:t>Ownership of Supplier IP</w:t>
      </w:r>
    </w:p>
    <w:p w:rsidR="004F662A" w:rsidP="008E30E0">
      <w:pPr>
        <w:pStyle w:val="Parasubclause1"/>
        <w:shd w:val="clear" w:color="auto" w:fill="auto"/>
        <w:outlineLvl w:val="9"/>
        <w:rPr>
          <w:color w:val="000000"/>
        </w:rPr>
      </w:pPr>
      <w:r>
        <w:t>The Customer acknowledges that the Supplier owns all right, title and interest, including all Intellectual Property Rights, in and to the Supplier IP and, with respect to Third-Party Products, the applicable third-party providers own all right, title and interest, including all Intellectual Property Rights, in and to the Third-Party Products.</w:t>
      </w:r>
    </w:p>
    <w:p w:rsidR="004F662A" w:rsidP="008E30E0">
      <w:pPr>
        <w:pStyle w:val="Titlesubclause1"/>
        <w:shd w:val="clear" w:color="auto" w:fill="auto"/>
        <w:outlineLvl w:val="9"/>
        <w:rPr>
          <w:color w:val="000000"/>
        </w:rPr>
      </w:pPr>
      <w:r>
        <w:t>Ownership of Customer Data</w:t>
      </w:r>
    </w:p>
    <w:p w:rsidR="004F662A" w:rsidP="008E30E0">
      <w:pPr>
        <w:pStyle w:val="Parasubclause1"/>
        <w:shd w:val="clear" w:color="auto" w:fill="auto"/>
        <w:outlineLvl w:val="9"/>
        <w:rPr>
          <w:color w:val="000000"/>
        </w:rPr>
      </w:pPr>
      <w:r>
        <w:t>The Supplier acknowledges that the Customer owns all right, title and interest, including all Intellectual Property Rights, in and to the Customer Data.</w:t>
      </w:r>
    </w:p>
    <w:p w:rsidR="004F662A" w:rsidP="008E30E0">
      <w:pPr>
        <w:pStyle w:val="Titlesubclause1"/>
        <w:shd w:val="clear" w:color="auto" w:fill="auto"/>
        <w:outlineLvl w:val="9"/>
        <w:rPr>
          <w:color w:val="000000"/>
        </w:rPr>
      </w:pPr>
      <w:r>
        <w:t>Limited licence to Customer Data</w:t>
      </w:r>
    </w:p>
    <w:p w:rsidR="004F662A" w:rsidP="008E30E0">
      <w:pPr>
        <w:pStyle w:val="Parasubclause1"/>
        <w:shd w:val="clear" w:color="auto" w:fill="auto"/>
        <w:outlineLvl w:val="9"/>
        <w:rPr>
          <w:color w:val="000000"/>
        </w:rPr>
      </w:pPr>
      <w:r>
        <w:t>The Customer grants to the Supplier a non-exclusive, royalty-free, worldwide licence to reproduce, distribute and otherwise use and display the Customer Data and perform all acts with respect to the Customer Data as may be necessary for the Supplier to provide, secure and support the Services to the Customer, and to use de-identified Aggregated Statistics as permitted by this Agreement.</w:t>
      </w:r>
    </w:p>
    <w:p w:rsidR="004F662A" w:rsidP="008E30E0">
      <w:pPr>
        <w:pStyle w:val="Titlesubclause1"/>
        <w:shd w:val="clear" w:color="auto" w:fill="auto"/>
        <w:outlineLvl w:val="9"/>
        <w:rPr>
          <w:color w:val="000000"/>
        </w:rPr>
      </w:pPr>
      <w:r>
        <w:t>Feedback</w:t>
      </w:r>
    </w:p>
    <w:p w:rsidR="004F662A" w:rsidP="008E30E0">
      <w:pPr>
        <w:pStyle w:val="Parasubclause1"/>
        <w:shd w:val="clear" w:color="auto" w:fill="auto"/>
        <w:outlineLvl w:val="9"/>
        <w:rPr>
          <w:color w:val="000000"/>
        </w:rPr>
      </w:pPr>
      <w:r>
        <w:t>The Customer acknowledges and agrees that the Supplier is free to use, without any attribution or compensation to any party, any Feedback irrespective of any other obligation or limitation between the parties governing such Feedback.</w:t>
      </w:r>
    </w:p>
    <w:p w:rsidR="004F662A" w:rsidP="008E30E0">
      <w:pPr>
        <w:pStyle w:val="Titlesubclause1"/>
        <w:shd w:val="clear" w:color="auto" w:fill="auto"/>
        <w:outlineLvl w:val="9"/>
        <w:rPr>
          <w:color w:val="000000"/>
        </w:rPr>
      </w:pPr>
      <w:r>
        <w:t>Assignment of Feedback</w:t>
      </w:r>
    </w:p>
    <w:p w:rsidR="004F662A" w:rsidP="008E30E0">
      <w:pPr>
        <w:pStyle w:val="Parasubclause1"/>
        <w:shd w:val="clear" w:color="auto" w:fill="auto"/>
        <w:outlineLvl w:val="9"/>
        <w:rPr>
          <w:color w:val="000000"/>
        </w:rPr>
      </w:pPr>
      <w:r>
        <w:t>The Customer hereby assigns to the Supplier all of its right, title and interest in and to any ideas, know-how, concepts, techniques or other Intellectual Property Rights contained in any Feedback.</w:t>
      </w:r>
    </w:p>
    <w:p w:rsidR="004F662A" w:rsidP="008E30E0">
      <w:pPr>
        <w:pStyle w:val="TitleClause"/>
        <w:shd w:val="clear" w:color="auto" w:fill="auto"/>
        <w:outlineLvl w:val="9"/>
        <w:rPr>
          <w:color w:val="000000"/>
        </w:rPr>
      </w:pPr>
      <w:r>
        <w:t>Warranties</w:t>
      </w:r>
    </w:p>
    <w:p w:rsidR="004F662A" w:rsidP="008E30E0">
      <w:pPr>
        <w:pStyle w:val="Titlesubclause1"/>
        <w:shd w:val="clear" w:color="auto" w:fill="auto"/>
        <w:outlineLvl w:val="9"/>
        <w:rPr>
          <w:color w:val="000000"/>
        </w:rPr>
      </w:pPr>
      <w:r>
        <w:t>Warranty disclaimer</w:t>
      </w:r>
    </w:p>
    <w:p w:rsidR="004F662A" w:rsidP="008E30E0">
      <w:pPr>
        <w:pStyle w:val="Parasubclause1"/>
        <w:shd w:val="clear" w:color="auto" w:fill="auto"/>
        <w:outlineLvl w:val="9"/>
        <w:rPr>
          <w:color w:val="000000"/>
        </w:rPr>
      </w:pPr>
      <w:r>
        <w:t>The Services and Documentation are provided as is and the Supplier excludes all rights, representations, conditions, warranties, guarantees, undertakings, remedies or other terms in relation to the Services to the maximum extent permitted by law.</w:t>
      </w:r>
    </w:p>
    <w:p w:rsidR="004F662A" w:rsidP="008E30E0">
      <w:pPr>
        <w:pStyle w:val="Titlesubclause1"/>
        <w:shd w:val="clear" w:color="auto" w:fill="auto"/>
        <w:outlineLvl w:val="9"/>
        <w:rPr>
          <w:color w:val="000000"/>
        </w:rPr>
      </w:pPr>
      <w:r>
        <w:t>Supplier warranty</w:t>
      </w:r>
    </w:p>
    <w:p w:rsidR="004F662A" w:rsidP="008E30E0">
      <w:pPr>
        <w:pStyle w:val="Parasubclause1"/>
        <w:shd w:val="clear" w:color="auto" w:fill="auto"/>
        <w:outlineLvl w:val="9"/>
        <w:rPr>
          <w:color w:val="000000"/>
        </w:rPr>
      </w:pPr>
      <w:r>
        <w:t>The Supplier warrants to the Customer that:</w:t>
      </w:r>
    </w:p>
    <w:p w:rsidR="004F662A" w:rsidP="008E30E0">
      <w:pPr>
        <w:pStyle w:val="Untitledsubclause2"/>
        <w:shd w:val="clear" w:color="auto" w:fill="auto"/>
        <w:outlineLvl w:val="9"/>
        <w:rPr>
          <w:color w:val="000000"/>
        </w:rPr>
      </w:pPr>
      <w:r>
        <w:t>the Services will operate in substantial conformity with the applicable Documentation during the Term;</w:t>
      </w:r>
    </w:p>
    <w:p w:rsidR="004F662A" w:rsidP="008E30E0">
      <w:pPr>
        <w:pStyle w:val="Untitledsubclause2"/>
        <w:shd w:val="clear" w:color="auto" w:fill="auto"/>
        <w:outlineLvl w:val="9"/>
        <w:rPr>
          <w:color w:val="000000"/>
        </w:rPr>
      </w:pPr>
      <w:r>
        <w:t>the Supplier will not materially decrease the functionality or overall security of the Services during the Term; and</w:t>
      </w:r>
    </w:p>
    <w:p w:rsidR="004F662A" w:rsidP="008E30E0">
      <w:pPr>
        <w:pStyle w:val="Untitledsubclause2"/>
        <w:shd w:val="clear" w:color="auto" w:fill="auto"/>
        <w:outlineLvl w:val="9"/>
        <w:rPr>
          <w:color w:val="000000"/>
        </w:rPr>
      </w:pPr>
      <w:r>
        <w:t>the Supplier will use reasonable endeavours designed to ensure that the Services, when and as provided by the Supplier, are free of any viruses, malware or similar malicious code.</w:t>
      </w:r>
    </w:p>
    <w:p w:rsidR="004F662A" w:rsidP="008E30E0">
      <w:pPr>
        <w:pStyle w:val="Titlesubclause1"/>
        <w:shd w:val="clear" w:color="auto" w:fill="auto"/>
        <w:outlineLvl w:val="9"/>
        <w:rPr>
          <w:color w:val="000000"/>
        </w:rPr>
      </w:pPr>
      <w:r>
        <w:t>Capacity and authority</w:t>
      </w:r>
    </w:p>
    <w:p w:rsidR="004F662A" w:rsidP="008E30E0">
      <w:pPr>
        <w:pStyle w:val="Parasubclause1"/>
        <w:shd w:val="clear" w:color="auto" w:fill="auto"/>
        <w:outlineLvl w:val="9"/>
        <w:rPr>
          <w:color w:val="000000"/>
        </w:rPr>
      </w:pPr>
      <w:r>
        <w:t>Each party warrants that it has full capacity and authority, and all necessary licences, permits and consents to enter into and perform this Agreement and that those signing this Agreement are duly authorised to bind the party for whom they sign.</w:t>
      </w:r>
    </w:p>
    <w:p w:rsidR="004F662A" w:rsidP="008E30E0">
      <w:pPr>
        <w:pStyle w:val="TitleClause"/>
        <w:shd w:val="clear" w:color="auto" w:fill="auto"/>
        <w:outlineLvl w:val="9"/>
        <w:rPr>
          <w:color w:val="000000"/>
        </w:rPr>
      </w:pPr>
      <w:r>
        <w:t>Indemnity</w:t>
      </w:r>
    </w:p>
    <w:p w:rsidR="004F662A" w:rsidP="008E30E0">
      <w:pPr>
        <w:pStyle w:val="Titlesubclause1"/>
        <w:shd w:val="clear" w:color="auto" w:fill="auto"/>
        <w:outlineLvl w:val="9"/>
        <w:rPr>
          <w:color w:val="000000"/>
        </w:rPr>
      </w:pPr>
      <w:r>
        <w:t>Customer indemnities</w:t>
      </w:r>
    </w:p>
    <w:p w:rsidR="004F662A" w:rsidP="008E30E0">
      <w:pPr>
        <w:pStyle w:val="Parasubclause1"/>
        <w:shd w:val="clear" w:color="auto" w:fill="auto"/>
        <w:outlineLvl w:val="9"/>
        <w:rPr>
          <w:color w:val="000000"/>
        </w:rPr>
      </w:pPr>
      <w:r>
        <w:t>The Customer indemnifies the Supplier against any direct losses, liabilities, costs, charges or expenses and all interest, penalties and legal costs (calculated on a full indemnity basis) and all other reasonable professional costs and expenses suffered or incurred by the Supplier for any claims brought by a third party against the Supplier to the extent arising out of or in connection with:</w:t>
      </w:r>
    </w:p>
    <w:p w:rsidR="004F662A" w:rsidP="008E30E0">
      <w:pPr>
        <w:pStyle w:val="Untitledsubclause2"/>
        <w:shd w:val="clear" w:color="auto" w:fill="auto"/>
        <w:outlineLvl w:val="9"/>
        <w:rPr>
          <w:color w:val="000000"/>
        </w:rPr>
      </w:pPr>
      <w:r>
        <w:t>use of the Services by the Customer or any Authorised User in a manner that breaches this Agreement; or</w:t>
      </w:r>
    </w:p>
    <w:p w:rsidR="004F662A" w:rsidP="008E30E0">
      <w:pPr>
        <w:pStyle w:val="Untitledsubclause2"/>
        <w:shd w:val="clear" w:color="auto" w:fill="auto"/>
        <w:outlineLvl w:val="9"/>
        <w:rPr>
          <w:color w:val="000000"/>
        </w:rPr>
      </w:pPr>
      <w:r>
        <w:t>any allegation that the Customer Data infringes, or involves an unauthorised use or disclosure of a third party's Intellectual Property Rights.</w:t>
      </w:r>
    </w:p>
    <w:p w:rsidR="004F662A" w:rsidP="008E30E0">
      <w:pPr>
        <w:pStyle w:val="Titlesubclause1"/>
        <w:shd w:val="clear" w:color="auto" w:fill="auto"/>
        <w:outlineLvl w:val="9"/>
        <w:rPr>
          <w:color w:val="000000"/>
        </w:rPr>
      </w:pPr>
      <w:r>
        <w:t>Intellectual Property Rights indemnity</w:t>
      </w:r>
    </w:p>
    <w:p w:rsidR="004F662A" w:rsidP="008E30E0">
      <w:pPr>
        <w:pStyle w:val="Parasubclause1"/>
        <w:shd w:val="clear" w:color="auto" w:fill="auto"/>
        <w:outlineLvl w:val="9"/>
        <w:rPr>
          <w:color w:val="000000"/>
        </w:rPr>
      </w:pPr>
      <w:r>
        <w:t>The Supplier undertakes at its own expense to defend the Customer or, at its option, settle any claim or action brought against the Customer alleging that the Customer's use of the Services, or the Customer's receipt of the benefit of the use of the Services, in each case in accordance with this Agreement, infringes, or involves an unauthorised use or disclosure of a third party's Australian Intellectual Property Rights (Claim) and will be responsible for any reasonable losses, damages, costs (including legal fees) and expenses incurred by or awarded against the Customer as a result of or in connection with any such Claim, provided that if any third party makes a Claim, or notifies an intention to make a Claim, against the Customer that may reasonably be considered likely to give rise to a liability under this indemnity, the Customer:</w:t>
      </w:r>
    </w:p>
    <w:p w:rsidR="004F662A" w:rsidP="008E30E0">
      <w:pPr>
        <w:pStyle w:val="Untitledsubclause2"/>
        <w:shd w:val="clear" w:color="auto" w:fill="auto"/>
        <w:outlineLvl w:val="9"/>
        <w:rPr>
          <w:color w:val="000000"/>
        </w:rPr>
      </w:pPr>
      <w:r>
        <w:t>as soon as reasonably practicable, gives Notice of the Claim to the Supplier, specifying the nature of the Claim in reasonable detail;</w:t>
      </w:r>
    </w:p>
    <w:p w:rsidR="004F662A" w:rsidP="008E30E0">
      <w:pPr>
        <w:pStyle w:val="Untitledsubclause2"/>
        <w:shd w:val="clear" w:color="auto" w:fill="auto"/>
        <w:outlineLvl w:val="9"/>
        <w:rPr>
          <w:color w:val="000000"/>
        </w:rPr>
      </w:pPr>
      <w:r>
        <w:t>does not make any admission of liability, agreement or compromise in relation to the Claim without the prior written consent of the Supplier (such consent not to be unreasonably conditioned, withheld or delayed), except where required by law;</w:t>
      </w:r>
    </w:p>
    <w:p w:rsidR="004F662A" w:rsidP="008E30E0">
      <w:pPr>
        <w:pStyle w:val="Untitledsubclause2"/>
        <w:shd w:val="clear" w:color="auto" w:fill="auto"/>
        <w:outlineLvl w:val="9"/>
        <w:rPr>
          <w:color w:val="000000"/>
        </w:rPr>
      </w:pPr>
      <w:r>
        <w:t>gives the Supplier and its professional advisers access at reasonable times (on reasonable prior notice) to its premises and its officers, directors, employees, agents, representatives or advisers, and to any relevant assets, accounts, documents and records within the power or control of the Customer, so as to enable the Supplier and its professional advisers to examine them and to take copies (at the Supplier's expense) for the purpose of assessing the Claim; and</w:t>
      </w:r>
    </w:p>
    <w:p w:rsidR="004F662A" w:rsidP="008E30E0">
      <w:pPr>
        <w:pStyle w:val="Untitledsubclause2"/>
        <w:shd w:val="clear" w:color="auto" w:fill="auto"/>
        <w:outlineLvl w:val="9"/>
        <w:rPr>
          <w:color w:val="000000"/>
        </w:rPr>
      </w:pPr>
      <w:r>
        <w:t>subject to the Supplier providing security to the Customer to the Customer's reasonable satisfaction against any claim, liability, costs, expenses, damages or losses that may be incurred, takes such action as the Supplier may reasonably request to avoid, dispute, compromise or defend the Claim.</w:t>
      </w:r>
    </w:p>
    <w:p w:rsidR="004F662A" w:rsidP="008E30E0">
      <w:pPr>
        <w:pStyle w:val="Titlesubclause1"/>
        <w:shd w:val="clear" w:color="auto" w:fill="auto"/>
        <w:outlineLvl w:val="9"/>
        <w:rPr>
          <w:color w:val="000000"/>
        </w:rPr>
      </w:pPr>
      <w:r>
        <w:t>Exclusions from Intellectual Property Rights indemnity</w:t>
      </w:r>
    </w:p>
    <w:p w:rsidR="004F662A" w:rsidP="008E30E0">
      <w:pPr>
        <w:pStyle w:val="Parasubclause1"/>
        <w:shd w:val="clear" w:color="auto" w:fill="auto"/>
        <w:outlineLvl w:val="9"/>
        <w:rPr>
          <w:color w:val="000000"/>
        </w:rPr>
      </w:pPr>
      <w:r>
        <w:t>Without prejudice to clause 10.5, the Supplier's obligations under clause 10.2 will not apply to the extent any Claim is caused or contributed to by:</w:t>
      </w:r>
    </w:p>
    <w:p w:rsidR="004F662A" w:rsidP="008E30E0">
      <w:pPr>
        <w:pStyle w:val="Untitledsubclause2"/>
        <w:shd w:val="clear" w:color="auto" w:fill="auto"/>
        <w:outlineLvl w:val="9"/>
        <w:rPr>
          <w:color w:val="000000"/>
        </w:rPr>
      </w:pPr>
      <w:r>
        <w:t>use of the Services by the Customer or any Authorised User in breach of this Agreement or in combination with Third-Party Products; or</w:t>
      </w:r>
    </w:p>
    <w:p w:rsidR="004F662A" w:rsidP="008E30E0">
      <w:pPr>
        <w:pStyle w:val="Untitledsubclause2"/>
        <w:shd w:val="clear" w:color="auto" w:fill="auto"/>
        <w:outlineLvl w:val="9"/>
        <w:rPr>
          <w:color w:val="000000"/>
        </w:rPr>
      </w:pPr>
      <w:r>
        <w:t>Customer Data or Third-Party Products.</w:t>
      </w:r>
    </w:p>
    <w:p w:rsidR="004F662A" w:rsidP="008E30E0">
      <w:pPr>
        <w:pStyle w:val="Titlesubclause1"/>
        <w:shd w:val="clear" w:color="auto" w:fill="auto"/>
        <w:outlineLvl w:val="9"/>
        <w:rPr>
          <w:color w:val="000000"/>
        </w:rPr>
      </w:pPr>
      <w:r>
        <w:t>Termination if infringement cannot be remedied</w:t>
      </w:r>
    </w:p>
    <w:p w:rsidR="004F662A" w:rsidP="008E30E0">
      <w:pPr>
        <w:pStyle w:val="Parasubclause1"/>
        <w:shd w:val="clear" w:color="auto" w:fill="auto"/>
        <w:outlineLvl w:val="9"/>
        <w:rPr>
          <w:color w:val="000000"/>
        </w:rPr>
      </w:pPr>
      <w:r>
        <w:t>If:</w:t>
      </w:r>
    </w:p>
    <w:p w:rsidR="004F662A" w:rsidP="008E30E0">
      <w:pPr>
        <w:pStyle w:val="Untitledsubclause2"/>
        <w:shd w:val="clear" w:color="auto" w:fill="auto"/>
        <w:outlineLvl w:val="9"/>
        <w:rPr>
          <w:color w:val="000000"/>
        </w:rPr>
      </w:pPr>
      <w:r>
        <w:t>use of the Services is determined in a court of law to be infringing;</w:t>
      </w:r>
    </w:p>
    <w:p w:rsidR="004F662A" w:rsidP="008E30E0">
      <w:pPr>
        <w:pStyle w:val="Untitledsubclause2"/>
        <w:shd w:val="clear" w:color="auto" w:fill="auto"/>
        <w:outlineLvl w:val="9"/>
        <w:rPr>
          <w:color w:val="000000"/>
        </w:rPr>
      </w:pPr>
      <w:r>
        <w:t>the Supplier is advised by a barrister of at least ten years' call that use by the Customer of the Services in accordance with this Agreement is likely to constitute infringement of a third party's rights; or</w:t>
      </w:r>
    </w:p>
    <w:p w:rsidR="004F662A" w:rsidP="008E30E0">
      <w:pPr>
        <w:pStyle w:val="Untitledsubclause2"/>
        <w:shd w:val="clear" w:color="auto" w:fill="auto"/>
        <w:outlineLvl w:val="9"/>
        <w:rPr>
          <w:color w:val="000000"/>
        </w:rPr>
      </w:pPr>
      <w:r>
        <w:t>an injunction or similar order is granted in connection with a Claim that prevents or restricts the use by the Customer of the Services in accordance with this Agreement,</w:t>
      </w:r>
    </w:p>
    <w:p w:rsidR="004F662A" w:rsidP="008E30E0">
      <w:pPr>
        <w:pStyle w:val="Parasubclause1"/>
        <w:shd w:val="clear" w:color="auto" w:fill="auto"/>
        <w:outlineLvl w:val="9"/>
        <w:rPr>
          <w:color w:val="000000"/>
        </w:rPr>
      </w:pPr>
      <w:r>
        <w:t>and the Supplier is unable, after best efforts, to procure for the Customer the right to continue using the Services (as the case may be) or to provide the Customer with functionally equivalent non-infringing services, either party may terminate this Agreement.</w:t>
      </w:r>
    </w:p>
    <w:p w:rsidR="004F662A" w:rsidP="008E30E0">
      <w:pPr>
        <w:pStyle w:val="Titlesubclause1"/>
        <w:shd w:val="clear" w:color="auto" w:fill="auto"/>
        <w:outlineLvl w:val="9"/>
        <w:rPr>
          <w:color w:val="000000"/>
        </w:rPr>
      </w:pPr>
      <w:r>
        <w:t>Mitigation</w:t>
      </w:r>
    </w:p>
    <w:p w:rsidR="004F662A" w:rsidP="008E30E0">
      <w:pPr>
        <w:pStyle w:val="Parasubclause1"/>
        <w:shd w:val="clear" w:color="auto" w:fill="auto"/>
        <w:outlineLvl w:val="9"/>
        <w:rPr>
          <w:color w:val="000000"/>
        </w:rPr>
      </w:pPr>
      <w:r>
        <w:t>Nothing in this clause 10 will restrict or limit a party's general obligation at law to mitigate a loss it may suffer or incur as a result of an event that may give rise to a claim under any indemnity in this Agreement.</w:t>
      </w:r>
    </w:p>
    <w:p w:rsidR="004F662A" w:rsidP="008E30E0">
      <w:pPr>
        <w:pStyle w:val="TitleClause"/>
        <w:shd w:val="clear" w:color="auto" w:fill="auto"/>
        <w:outlineLvl w:val="9"/>
        <w:rPr>
          <w:color w:val="000000"/>
        </w:rPr>
      </w:pPr>
      <w:r>
        <w:t>Limitation of liability</w:t>
      </w:r>
    </w:p>
    <w:p w:rsidR="004F662A" w:rsidP="008E30E0">
      <w:pPr>
        <w:pStyle w:val="Titlesubclause1"/>
        <w:shd w:val="clear" w:color="auto" w:fill="auto"/>
        <w:outlineLvl w:val="9"/>
        <w:rPr>
          <w:color w:val="000000"/>
        </w:rPr>
      </w:pPr>
      <w:r>
        <w:t>Warranty disclaimer</w:t>
      </w:r>
    </w:p>
    <w:p w:rsidR="004F662A" w:rsidP="008E30E0">
      <w:pPr>
        <w:pStyle w:val="Parasubclause1"/>
        <w:shd w:val="clear" w:color="auto" w:fill="auto"/>
        <w:outlineLvl w:val="9"/>
        <w:rPr>
          <w:color w:val="000000"/>
        </w:rPr>
      </w:pPr>
      <w:r>
        <w:t>Subject to the other terms of this clause 11, the Supplier excludes all rights, representations, guarantees, conditions, warranties, undertakings, remedies or other terms in relation to the Services that are not expressly set out in this Agreement to the maximum extent permitted by law.</w:t>
      </w:r>
    </w:p>
    <w:p w:rsidR="004F662A" w:rsidP="008E30E0">
      <w:pPr>
        <w:pStyle w:val="Titlesubclause1"/>
        <w:shd w:val="clear" w:color="auto" w:fill="auto"/>
        <w:outlineLvl w:val="9"/>
        <w:rPr>
          <w:color w:val="000000"/>
        </w:rPr>
      </w:pPr>
      <w:r>
        <w:t>Liability cap</w:t>
      </w:r>
    </w:p>
    <w:p w:rsidR="004F662A" w:rsidP="008E30E0">
      <w:pPr>
        <w:pStyle w:val="Parasubclause1"/>
        <w:shd w:val="clear" w:color="auto" w:fill="auto"/>
        <w:outlineLvl w:val="9"/>
        <w:rPr>
          <w:color w:val="000000"/>
        </w:rPr>
      </w:pPr>
      <w:r>
        <w:t>Subject to the other terms of this clause 11, the Supplier's maximum aggregate liability to the Customer in any 12-month period for any loss or damage arising out of or in connection with this Agreement, including any breach by the Supplier of this Agreement however arising, under any indemnity, in tort (including negligence), under any statute, custom, law or on any other basis, is limited to the greater of:</w:t>
      </w:r>
    </w:p>
    <w:p w:rsidR="004F662A" w:rsidP="008E30E0">
      <w:pPr>
        <w:pStyle w:val="Untitledsubclause2"/>
        <w:shd w:val="clear" w:color="auto" w:fill="auto"/>
        <w:outlineLvl w:val="9"/>
        <w:rPr>
          <w:color w:val="000000"/>
        </w:rPr>
      </w:pPr>
      <w:r>
        <w:t>$1,000; and</w:t>
      </w:r>
    </w:p>
    <w:p w:rsidR="004F662A" w:rsidP="008E30E0">
      <w:pPr>
        <w:pStyle w:val="Untitledsubclause2"/>
        <w:shd w:val="clear" w:color="auto" w:fill="auto"/>
        <w:outlineLvl w:val="9"/>
        <w:rPr>
          <w:color w:val="000000"/>
        </w:rPr>
      </w:pPr>
      <w:r>
        <w:t>100% of the charges paid by the Customer under this Agreement in the 12-month period preceding the matter or event giving rise to the claim.</w:t>
      </w:r>
    </w:p>
    <w:p w:rsidR="004F662A" w:rsidP="008E30E0">
      <w:pPr>
        <w:pStyle w:val="Titlesubclause1"/>
        <w:shd w:val="clear" w:color="auto" w:fill="auto"/>
        <w:outlineLvl w:val="9"/>
        <w:rPr>
          <w:color w:val="000000"/>
        </w:rPr>
      </w:pPr>
      <w:r>
        <w:t>Exclusion of special, indirect or consequential loss</w:t>
      </w:r>
    </w:p>
    <w:p w:rsidR="004F662A" w:rsidP="008E30E0">
      <w:pPr>
        <w:pStyle w:val="Parasubclause1"/>
        <w:shd w:val="clear" w:color="auto" w:fill="auto"/>
        <w:outlineLvl w:val="9"/>
        <w:rPr>
          <w:color w:val="000000"/>
        </w:rPr>
      </w:pPr>
      <w:r>
        <w:t>Subject to the other terms of this clause 11, each party excludes any liability to the other, whether in contract, tort (including negligence) or otherwise, for any special, indirect or consequential loss arising under or in connection with this Agreement, including any:</w:t>
      </w:r>
    </w:p>
    <w:p w:rsidR="004F662A" w:rsidP="008E30E0">
      <w:pPr>
        <w:pStyle w:val="Untitledsubclause2"/>
        <w:shd w:val="clear" w:color="auto" w:fill="auto"/>
        <w:outlineLvl w:val="9"/>
        <w:rPr>
          <w:color w:val="000000"/>
        </w:rPr>
      </w:pPr>
      <w:r>
        <w:t>loss of profits;</w:t>
      </w:r>
    </w:p>
    <w:p w:rsidR="004F662A" w:rsidP="008E30E0">
      <w:pPr>
        <w:pStyle w:val="Untitledsubclause2"/>
        <w:shd w:val="clear" w:color="auto" w:fill="auto"/>
        <w:outlineLvl w:val="9"/>
        <w:rPr>
          <w:color w:val="000000"/>
        </w:rPr>
      </w:pPr>
      <w:r>
        <w:t>loss of production;</w:t>
      </w:r>
    </w:p>
    <w:p w:rsidR="004F662A" w:rsidP="008E30E0">
      <w:pPr>
        <w:pStyle w:val="Untitledsubclause2"/>
        <w:shd w:val="clear" w:color="auto" w:fill="auto"/>
        <w:outlineLvl w:val="9"/>
        <w:rPr>
          <w:color w:val="000000"/>
        </w:rPr>
      </w:pPr>
      <w:r>
        <w:t>loss of agreements or contracts;</w:t>
      </w:r>
    </w:p>
    <w:p w:rsidR="004F662A" w:rsidP="008E30E0">
      <w:pPr>
        <w:pStyle w:val="Untitledsubclause2"/>
        <w:shd w:val="clear" w:color="auto" w:fill="auto"/>
        <w:outlineLvl w:val="9"/>
        <w:rPr>
          <w:color w:val="000000"/>
        </w:rPr>
      </w:pPr>
      <w:r>
        <w:t>loss of, or damage to, goodwill;</w:t>
      </w:r>
    </w:p>
    <w:p w:rsidR="004F662A" w:rsidP="008E30E0">
      <w:pPr>
        <w:pStyle w:val="Untitledsubclause2"/>
        <w:shd w:val="clear" w:color="auto" w:fill="auto"/>
        <w:outlineLvl w:val="9"/>
        <w:rPr>
          <w:color w:val="000000"/>
        </w:rPr>
      </w:pPr>
      <w:r>
        <w:t>loss of reputation;</w:t>
      </w:r>
    </w:p>
    <w:p w:rsidR="004F662A" w:rsidP="008E30E0">
      <w:pPr>
        <w:pStyle w:val="Untitledsubclause2"/>
        <w:shd w:val="clear" w:color="auto" w:fill="auto"/>
        <w:outlineLvl w:val="9"/>
        <w:rPr>
          <w:color w:val="000000"/>
        </w:rPr>
      </w:pPr>
      <w:r>
        <w:t>loss of sales or business;</w:t>
      </w:r>
    </w:p>
    <w:p w:rsidR="004F662A" w:rsidP="008E30E0">
      <w:pPr>
        <w:pStyle w:val="Untitledsubclause2"/>
        <w:shd w:val="clear" w:color="auto" w:fill="auto"/>
        <w:outlineLvl w:val="9"/>
        <w:rPr>
          <w:color w:val="000000"/>
        </w:rPr>
      </w:pPr>
      <w:r>
        <w:t>loss of business opportunity;</w:t>
      </w:r>
    </w:p>
    <w:p w:rsidR="004F662A" w:rsidP="008E30E0">
      <w:pPr>
        <w:pStyle w:val="Untitledsubclause2"/>
        <w:shd w:val="clear" w:color="auto" w:fill="auto"/>
        <w:outlineLvl w:val="9"/>
        <w:rPr>
          <w:color w:val="000000"/>
        </w:rPr>
      </w:pPr>
      <w:r>
        <w:t>loss of anticipated savings; and</w:t>
      </w:r>
    </w:p>
    <w:p w:rsidR="004F662A" w:rsidP="008E30E0">
      <w:pPr>
        <w:pStyle w:val="Untitledsubclause2"/>
        <w:shd w:val="clear" w:color="auto" w:fill="auto"/>
        <w:outlineLvl w:val="9"/>
        <w:rPr>
          <w:color w:val="000000"/>
        </w:rPr>
      </w:pPr>
      <w:r>
        <w:t>loss, or corruption, of software, data or information.</w:t>
      </w:r>
    </w:p>
    <w:p w:rsidR="004F662A" w:rsidP="008E30E0">
      <w:pPr>
        <w:pStyle w:val="Titlesubclause1"/>
        <w:shd w:val="clear" w:color="auto" w:fill="auto"/>
        <w:outlineLvl w:val="9"/>
        <w:rPr>
          <w:color w:val="000000"/>
        </w:rPr>
      </w:pPr>
      <w:r>
        <w:t>No liability for Service Suspension</w:t>
      </w:r>
    </w:p>
    <w:p w:rsidR="004F662A" w:rsidRPr="003B546E" w:rsidP="008E30E0">
      <w:pPr>
        <w:pStyle w:val="Parasubclause1"/>
        <w:shd w:val="clear" w:color="auto" w:fill="auto"/>
        <w:outlineLvl w:val="9"/>
        <w:rPr>
          <w:color w:val="000000"/>
        </w:rPr>
      </w:pPr>
      <w:r>
        <w:t>Subject to the other terms of this clause 11, the Supplier will have no liability for any damage, liabilities, losses (including any loss of data or profits), or any other consequences that Customer or any Authorised User may incur as a result of a Service Suspension.</w:t>
      </w:r>
    </w:p>
    <w:p w:rsidR="004F662A" w:rsidP="008E30E0">
      <w:pPr>
        <w:pStyle w:val="Titlesubclause1"/>
        <w:shd w:val="clear" w:color="auto" w:fill="auto"/>
        <w:outlineLvl w:val="9"/>
        <w:rPr>
          <w:color w:val="000000"/>
        </w:rPr>
      </w:pPr>
      <w:r>
        <w:t>Liabilities that are not limited or excluded</w:t>
      </w:r>
    </w:p>
    <w:p w:rsidR="004F662A" w:rsidP="008E30E0">
      <w:pPr>
        <w:pStyle w:val="Parasubclause1"/>
        <w:shd w:val="clear" w:color="auto" w:fill="auto"/>
        <w:outlineLvl w:val="9"/>
        <w:rPr>
          <w:color w:val="000000"/>
        </w:rPr>
      </w:pPr>
      <w:r>
        <w:t>Nothing in this Agreement:</w:t>
      </w:r>
    </w:p>
    <w:p w:rsidR="004F662A" w:rsidP="008E30E0">
      <w:pPr>
        <w:pStyle w:val="Untitledsubclause2"/>
        <w:shd w:val="clear" w:color="auto" w:fill="auto"/>
        <w:outlineLvl w:val="9"/>
        <w:rPr>
          <w:color w:val="000000"/>
        </w:rPr>
      </w:pPr>
      <w:r>
        <w:t>is intended to have the effect of excluding, restricting or modifying the application of all or any of the provisions of Part 5-4 of the ACL, or the exercise of a right conferred by such a provision, or any liability of the Supplier in relation to a failure to comply with a guarantee that applies under Division 1 of Part 3-2 of the ACL to a supply of goods or services; or</w:t>
      </w:r>
    </w:p>
    <w:p w:rsidR="004F662A" w:rsidP="008E30E0">
      <w:pPr>
        <w:pStyle w:val="Untitledsubclause2"/>
        <w:shd w:val="clear" w:color="auto" w:fill="auto"/>
        <w:outlineLvl w:val="9"/>
        <w:rPr>
          <w:color w:val="000000"/>
        </w:rPr>
      </w:pPr>
      <w:r>
        <w:t>limits or excludes a party's liability:</w:t>
      </w:r>
    </w:p>
    <w:p w:rsidR="004F662A" w:rsidP="008E30E0">
      <w:pPr>
        <w:pStyle w:val="Untitledsubclause3"/>
        <w:shd w:val="clear" w:color="auto" w:fill="auto"/>
        <w:outlineLvl w:val="9"/>
        <w:rPr>
          <w:color w:val="000000"/>
        </w:rPr>
      </w:pPr>
      <w:r>
        <w:t>for death or personal injury caused by its negligence or wilful misconduct or that of its employees, as applicable;</w:t>
      </w:r>
    </w:p>
    <w:p w:rsidR="004F662A" w:rsidP="008E30E0">
      <w:pPr>
        <w:pStyle w:val="Untitledsubclause3"/>
        <w:shd w:val="clear" w:color="auto" w:fill="auto"/>
        <w:outlineLvl w:val="9"/>
        <w:rPr>
          <w:color w:val="000000"/>
        </w:rPr>
      </w:pPr>
      <w:r>
        <w:t>for fraud or fraudulent misrepresentation by it or its employees, as applicable;</w:t>
      </w:r>
    </w:p>
    <w:p w:rsidR="004F662A" w:rsidP="008E30E0">
      <w:pPr>
        <w:pStyle w:val="Untitledsubclause3"/>
        <w:shd w:val="clear" w:color="auto" w:fill="auto"/>
        <w:outlineLvl w:val="9"/>
        <w:rPr>
          <w:color w:val="000000"/>
        </w:rPr>
      </w:pPr>
      <w:r>
        <w:t>where liability cannot be limited or excluded by applicable law;</w:t>
      </w:r>
    </w:p>
    <w:p w:rsidR="004F662A" w:rsidP="008E30E0">
      <w:pPr>
        <w:pStyle w:val="Untitledsubclause3"/>
        <w:shd w:val="clear" w:color="auto" w:fill="auto"/>
        <w:outlineLvl w:val="9"/>
        <w:rPr>
          <w:color w:val="000000"/>
        </w:rPr>
      </w:pPr>
      <w:r>
        <w:t>for repudiation or abandonment of this Agreement;</w:t>
      </w:r>
    </w:p>
    <w:p w:rsidR="004F662A" w:rsidP="008E30E0">
      <w:pPr>
        <w:pStyle w:val="Untitledsubclause3"/>
        <w:shd w:val="clear" w:color="auto" w:fill="auto"/>
        <w:outlineLvl w:val="9"/>
        <w:rPr>
          <w:color w:val="000000"/>
        </w:rPr>
      </w:pPr>
      <w:r>
        <w:t>for breach of confidentiality under clause 7;</w:t>
      </w:r>
    </w:p>
    <w:p w:rsidR="004F662A" w:rsidP="008E30E0">
      <w:pPr>
        <w:pStyle w:val="Untitledsubclause3"/>
        <w:shd w:val="clear" w:color="auto" w:fill="auto"/>
        <w:outlineLvl w:val="9"/>
        <w:rPr>
          <w:color w:val="000000"/>
        </w:rPr>
      </w:pPr>
      <w:r>
        <w:t>for breach of privacy and data protection obligations under clause 13;</w:t>
      </w:r>
    </w:p>
    <w:p w:rsidR="004F662A" w:rsidP="008E30E0">
      <w:pPr>
        <w:pStyle w:val="Untitledsubclause3"/>
        <w:shd w:val="clear" w:color="auto" w:fill="auto"/>
        <w:outlineLvl w:val="9"/>
        <w:rPr>
          <w:color w:val="000000"/>
        </w:rPr>
      </w:pPr>
      <w:r>
        <w:t>for infringement of a third party's Intellectual Property Rights, including under clause 10.1 and clause 10.2;</w:t>
      </w:r>
    </w:p>
    <w:p w:rsidR="004F662A" w:rsidP="008E30E0">
      <w:pPr>
        <w:pStyle w:val="Untitledsubclause3"/>
        <w:shd w:val="clear" w:color="auto" w:fill="auto"/>
        <w:outlineLvl w:val="9"/>
        <w:rPr>
          <w:color w:val="000000"/>
        </w:rPr>
      </w:pPr>
      <w:r>
        <w:t>for breach of any payment, access control, confidentiality, privacy, security or clinical governance obligation that cannot be limited or excluded by applicable law.</w:t>
      </w:r>
    </w:p>
    <w:p w:rsidR="004F662A" w:rsidP="008E30E0">
      <w:pPr>
        <w:pStyle w:val="Untitledsubclause3"/>
        <w:shd w:val="clear" w:color="auto" w:fill="auto"/>
        <w:outlineLvl w:val="9"/>
        <w:rPr>
          <w:color w:val="000000"/>
        </w:rPr>
      </w:pPr>
      <w:r>
        <w:t>ANY OTHER LIABILITIES NOT LIMITED.</w:t>
      </w:r>
    </w:p>
    <w:p w:rsidR="004F662A" w:rsidP="008E30E0">
      <w:pPr>
        <w:pStyle w:val="Titlesubclause1"/>
        <w:shd w:val="clear" w:color="auto" w:fill="auto"/>
        <w:outlineLvl w:val="9"/>
        <w:rPr>
          <w:color w:val="000000"/>
        </w:rPr>
      </w:pPr>
      <w:r>
        <w:t>Proportionate liability</w:t>
      </w:r>
    </w:p>
    <w:p w:rsidR="004F662A" w:rsidP="008E30E0">
      <w:pPr>
        <w:pStyle w:val="Parasubclause1"/>
        <w:shd w:val="clear" w:color="auto" w:fill="auto"/>
        <w:outlineLvl w:val="9"/>
        <w:rPr>
          <w:color w:val="000000"/>
        </w:rPr>
      </w:pPr>
      <w:r>
        <w:t>Notwithstanding anything else in this clause 11, the Supplier's liability will be reduced to the extent the loss or damage is caused by or contributed to by the Customer, the Customer's employees, agents or contractors.</w:t>
      </w:r>
    </w:p>
    <w:p w:rsidR="004F662A" w:rsidP="008E30E0">
      <w:pPr>
        <w:pStyle w:val="TitleClause"/>
        <w:shd w:val="clear" w:color="auto" w:fill="auto"/>
        <w:outlineLvl w:val="9"/>
        <w:rPr>
          <w:color w:val="000000"/>
        </w:rPr>
      </w:pPr>
      <w:r>
        <w:t>Term and termination</w:t>
      </w:r>
    </w:p>
    <w:p w:rsidR="004F662A" w:rsidP="008E30E0">
      <w:pPr>
        <w:pStyle w:val="Titlesubclause1"/>
        <w:shd w:val="clear" w:color="auto" w:fill="auto"/>
        <w:outlineLvl w:val="9"/>
        <w:rPr>
          <w:color w:val="000000"/>
        </w:rPr>
      </w:pPr>
      <w:r>
        <w:t>Term</w:t>
      </w:r>
    </w:p>
    <w:p w:rsidR="004F662A" w:rsidP="008E30E0">
      <w:pPr>
        <w:pStyle w:val="Parasubclause1"/>
        <w:shd w:val="clear" w:color="auto" w:fill="auto"/>
        <w:outlineLvl w:val="9"/>
        <w:rPr>
          <w:color w:val="000000"/>
        </w:rPr>
      </w:pPr>
      <w:r>
        <w:t>The initial term of this Agreement begins on the Commencement Date and, unless terminated earlier pursuant to this Agreement's provisions, will continue in effect until 12 months from such date (Initial Term).</w:t>
      </w:r>
    </w:p>
    <w:p w:rsidR="004F662A" w:rsidP="008E30E0">
      <w:pPr>
        <w:pStyle w:val="Titlesubclause1"/>
        <w:shd w:val="clear" w:color="auto" w:fill="auto"/>
        <w:outlineLvl w:val="9"/>
        <w:rPr>
          <w:color w:val="000000"/>
        </w:rPr>
      </w:pPr>
      <w:r>
        <w:t>Renewal</w:t>
      </w:r>
    </w:p>
    <w:p w:rsidR="004F662A" w:rsidP="008E30E0">
      <w:pPr>
        <w:pStyle w:val="Parasubclause1"/>
        <w:shd w:val="clear" w:color="auto" w:fill="auto"/>
        <w:outlineLvl w:val="9"/>
        <w:rPr>
          <w:color w:val="000000"/>
        </w:rPr>
      </w:pPr>
      <w:r>
        <w:t>This Agreement will automatically renew for additional successive 12-month terms unless earlier terminated pursuant to this Agreement's express provisions or either party gives the other party Notice of non-renewal at least 30 days prior to the expiration of the then-current term.</w:t>
      </w:r>
    </w:p>
    <w:p w:rsidR="004F662A" w:rsidP="008E30E0">
      <w:pPr>
        <w:pStyle w:val="Titlesubclause1"/>
        <w:shd w:val="clear" w:color="auto" w:fill="auto"/>
        <w:outlineLvl w:val="9"/>
        <w:rPr>
          <w:color w:val="000000"/>
        </w:rPr>
      </w:pPr>
      <w:r>
        <w:t>Fee increase</w:t>
      </w:r>
    </w:p>
    <w:p w:rsidR="004F662A" w:rsidP="008E30E0">
      <w:pPr>
        <w:pStyle w:val="Parasubclause1"/>
        <w:shd w:val="clear" w:color="auto" w:fill="auto"/>
        <w:outlineLvl w:val="9"/>
        <w:rPr>
          <w:color w:val="000000"/>
        </w:rPr>
      </w:pPr>
      <w:r>
        <w:t>The Supplier will provide Notice of any applicable increase to the Fees 30 days or more before the beginning of a Renewal Term.</w:t>
      </w:r>
    </w:p>
    <w:p w:rsidR="004F662A" w:rsidP="008E30E0">
      <w:pPr>
        <w:pStyle w:val="Titlesubclause1"/>
        <w:shd w:val="clear" w:color="auto" w:fill="auto"/>
        <w:outlineLvl w:val="9"/>
        <w:rPr>
          <w:color w:val="000000"/>
        </w:rPr>
      </w:pPr>
      <w:r>
        <w:t>Termination for convenience</w:t>
      </w:r>
    </w:p>
    <w:p w:rsidR="004F662A" w:rsidP="008E30E0">
      <w:pPr>
        <w:pStyle w:val="Parasubclause1"/>
        <w:shd w:val="clear" w:color="auto" w:fill="auto"/>
        <w:outlineLvl w:val="9"/>
        <w:rPr>
          <w:color w:val="000000"/>
        </w:rPr>
      </w:pPr>
      <w:r>
        <w:t>Without affecting any other right or remedy available to it, the Customer may terminate this Agreement on giving not less than 30 days' Notice to the Supplier, provided that a Notice to terminate served under this clause 12.4 does not expire before the Initial Term.</w:t>
      </w:r>
    </w:p>
    <w:p w:rsidR="004F662A" w:rsidP="008E30E0">
      <w:pPr>
        <w:pStyle w:val="Titlesubclause1"/>
        <w:shd w:val="clear" w:color="auto" w:fill="auto"/>
        <w:outlineLvl w:val="9"/>
        <w:rPr>
          <w:color w:val="000000"/>
        </w:rPr>
      </w:pPr>
      <w:r>
        <w:t>Consequences of termination for convenience</w:t>
      </w:r>
    </w:p>
    <w:p w:rsidR="004F662A" w:rsidP="008E30E0">
      <w:pPr>
        <w:pStyle w:val="Parasubclause1"/>
        <w:shd w:val="clear" w:color="auto" w:fill="auto"/>
        <w:outlineLvl w:val="9"/>
        <w:rPr>
          <w:color w:val="000000"/>
        </w:rPr>
      </w:pPr>
      <w:r>
        <w:t>On termination by the Customer under the terms of clause 12.4:</w:t>
      </w:r>
    </w:p>
    <w:p w:rsidR="004F662A" w:rsidP="008E30E0">
      <w:pPr>
        <w:pStyle w:val="Untitledsubclause2"/>
        <w:shd w:val="clear" w:color="auto" w:fill="auto"/>
        <w:outlineLvl w:val="9"/>
        <w:rPr>
          <w:color w:val="000000"/>
        </w:rPr>
      </w:pPr>
      <w:r>
        <w:t>all rights to use the Services and the Documentation granted to the Customer and any Authorised User under this Agreement will cease; and</w:t>
      </w:r>
    </w:p>
    <w:p w:rsidR="004F662A" w:rsidP="008E30E0">
      <w:pPr>
        <w:pStyle w:val="Untitledsubclause2"/>
        <w:shd w:val="clear" w:color="auto" w:fill="auto"/>
        <w:outlineLvl w:val="9"/>
        <w:rPr>
          <w:color w:val="000000"/>
        </w:rPr>
      </w:pPr>
      <w:r>
        <w:t>the Customer will immediately pay to the Supplier any sums due to the Supplier under this Agreement.</w:t>
      </w:r>
    </w:p>
    <w:p w:rsidR="004F662A" w:rsidP="008E30E0">
      <w:pPr>
        <w:pStyle w:val="Titlesubclause1"/>
        <w:shd w:val="clear" w:color="auto" w:fill="auto"/>
        <w:outlineLvl w:val="9"/>
        <w:rPr>
          <w:color w:val="000000"/>
        </w:rPr>
      </w:pPr>
      <w:r>
        <w:t>Termination for default</w:t>
      </w:r>
    </w:p>
    <w:p w:rsidR="004F662A" w:rsidP="008E30E0">
      <w:pPr>
        <w:pStyle w:val="Parasubclause1"/>
        <w:shd w:val="clear" w:color="auto" w:fill="auto"/>
        <w:outlineLvl w:val="9"/>
        <w:rPr>
          <w:color w:val="000000"/>
        </w:rPr>
      </w:pPr>
      <w:r>
        <w:t>Without affecting any other right or remedy available to it, a party (Non-Defaulting Party) may terminate this Agreement with immediate effect by giving notice to the other party (Defaulting Party) if:</w:t>
      </w:r>
    </w:p>
    <w:p w:rsidR="004F662A" w:rsidP="008E30E0">
      <w:pPr>
        <w:pStyle w:val="Untitledsubclause2"/>
        <w:shd w:val="clear" w:color="auto" w:fill="auto"/>
        <w:outlineLvl w:val="9"/>
        <w:rPr>
          <w:color w:val="000000"/>
        </w:rPr>
      </w:pPr>
      <w:r>
        <w:t>the Defaulting Party fails to pay any undisputed amount due under this Agreement on the due date for payment and remains in default not less than 14 days after being notified in writing to make such payment;</w:t>
      </w:r>
    </w:p>
    <w:p w:rsidR="004F662A" w:rsidP="008E30E0">
      <w:pPr>
        <w:pStyle w:val="Untitledsubclause2"/>
        <w:shd w:val="clear" w:color="auto" w:fill="auto"/>
        <w:outlineLvl w:val="9"/>
        <w:rPr>
          <w:color w:val="000000"/>
        </w:rPr>
      </w:pPr>
      <w:r>
        <w:t>the Defaulting Party commits a material breach of any other term of this Agreement and that breach is irremediable or (if that breach is remediable) fails to remedy that breach within a period of 30 days after being notified in writing to do so;</w:t>
      </w:r>
    </w:p>
    <w:p w:rsidR="004F662A" w:rsidP="008E30E0">
      <w:pPr>
        <w:pStyle w:val="Untitledsubclause2"/>
        <w:shd w:val="clear" w:color="auto" w:fill="auto"/>
        <w:outlineLvl w:val="9"/>
        <w:rPr>
          <w:color w:val="000000"/>
        </w:rPr>
      </w:pPr>
      <w:r>
        <w:t>the Defaulting Party repeatedly breaches any of the terms of this Agreement in such a manner to reasonably justify the opinion that its conduct is inconsistent with it having the intention or ability to give effect to the terms of this Agreement; or</w:t>
      </w:r>
    </w:p>
    <w:p w:rsidR="004F662A" w:rsidP="008E30E0">
      <w:pPr>
        <w:pStyle w:val="Untitledsubclause2"/>
        <w:shd w:val="clear" w:color="auto" w:fill="auto"/>
        <w:outlineLvl w:val="9"/>
        <w:rPr>
          <w:color w:val="000000"/>
        </w:rPr>
      </w:pPr>
      <w:r>
        <w:t>an Insolvency Event occurs in relation to the Defaulting Party (and the Corporations Act does not prevent the Non-Defaulting Party from terminating this Agreement because of that Insolvency Event).</w:t>
      </w:r>
    </w:p>
    <w:p w:rsidR="004F662A" w:rsidP="008E30E0">
      <w:pPr>
        <w:pStyle w:val="Titlesubclause1"/>
        <w:shd w:val="clear" w:color="auto" w:fill="auto"/>
        <w:outlineLvl w:val="9"/>
        <w:rPr>
          <w:color w:val="000000"/>
        </w:rPr>
      </w:pPr>
      <w:r>
        <w:t>Survival of obligations</w:t>
      </w:r>
    </w:p>
    <w:p w:rsidR="004F662A" w:rsidP="008E30E0">
      <w:pPr>
        <w:pStyle w:val="Parasubclause1"/>
        <w:shd w:val="clear" w:color="auto" w:fill="auto"/>
        <w:outlineLvl w:val="9"/>
        <w:rPr>
          <w:color w:val="000000"/>
        </w:rPr>
      </w:pPr>
      <w:r>
        <w:t>The following clauses survive termination or expiry of this Agreement together with any other term that by its nature is intended to do so:</w:t>
      </w:r>
    </w:p>
    <w:p w:rsidR="004F662A" w:rsidP="008E30E0">
      <w:pPr>
        <w:pStyle w:val="Untitledsubclause2"/>
        <w:shd w:val="clear" w:color="auto" w:fill="auto"/>
        <w:outlineLvl w:val="9"/>
        <w:rPr>
          <w:color w:val="000000"/>
        </w:rPr>
      </w:pPr>
      <w:r>
        <w:t>clause 7 (Confidential Information);</w:t>
      </w:r>
    </w:p>
    <w:p w:rsidR="004F662A" w:rsidP="008E30E0">
      <w:pPr>
        <w:pStyle w:val="Untitledsubclause2"/>
        <w:shd w:val="clear" w:color="auto" w:fill="auto"/>
        <w:outlineLvl w:val="9"/>
        <w:rPr>
          <w:color w:val="000000"/>
        </w:rPr>
      </w:pPr>
      <w:r>
        <w:t>clause 8.3 and clause 8.4 (Intellectual property);</w:t>
      </w:r>
    </w:p>
    <w:p w:rsidR="004F662A" w:rsidP="008E30E0">
      <w:pPr>
        <w:pStyle w:val="Untitledsubclause2"/>
        <w:shd w:val="clear" w:color="auto" w:fill="auto"/>
        <w:outlineLvl w:val="9"/>
        <w:rPr>
          <w:color w:val="000000"/>
        </w:rPr>
      </w:pPr>
      <w:r>
        <w:t>clause 10 (Indemnity);</w:t>
      </w:r>
    </w:p>
    <w:p w:rsidR="004F662A" w:rsidP="008E30E0">
      <w:pPr>
        <w:pStyle w:val="Untitledsubclause2"/>
        <w:shd w:val="clear" w:color="auto" w:fill="auto"/>
        <w:outlineLvl w:val="9"/>
        <w:rPr>
          <w:color w:val="000000"/>
        </w:rPr>
      </w:pPr>
      <w:r>
        <w:t>clause 11 (Limitation of liability);</w:t>
      </w:r>
    </w:p>
    <w:p w:rsidR="004F662A" w:rsidP="008E30E0">
      <w:pPr>
        <w:pStyle w:val="Untitledsubclause2"/>
        <w:shd w:val="clear" w:color="auto" w:fill="auto"/>
        <w:outlineLvl w:val="9"/>
        <w:rPr>
          <w:color w:val="000000"/>
        </w:rPr>
      </w:pPr>
      <w:r>
        <w:t>clause 12 (Term and termination);</w:t>
      </w:r>
    </w:p>
    <w:p w:rsidR="004F662A" w:rsidP="008E30E0">
      <w:pPr>
        <w:pStyle w:val="Untitledsubclause2"/>
        <w:shd w:val="clear" w:color="auto" w:fill="auto"/>
        <w:outlineLvl w:val="9"/>
        <w:rPr>
          <w:color w:val="000000"/>
        </w:rPr>
      </w:pPr>
      <w:r>
        <w:t>clause 13 (Privacy and data protection); and</w:t>
      </w:r>
    </w:p>
    <w:p w:rsidR="004F662A" w:rsidP="008E30E0">
      <w:pPr>
        <w:pStyle w:val="Untitledsubclause2"/>
        <w:shd w:val="clear" w:color="auto" w:fill="auto"/>
        <w:outlineLvl w:val="9"/>
        <w:rPr>
          <w:color w:val="000000"/>
        </w:rPr>
      </w:pPr>
      <w:r>
        <w:t>clause 15.16 (Governing law and jurisdiction); and</w:t>
      </w:r>
    </w:p>
    <w:p w:rsidR="004F662A" w:rsidP="008E30E0">
      <w:pPr>
        <w:pStyle w:val="Untitledsubclause2"/>
        <w:shd w:val="clear" w:color="auto" w:fill="auto"/>
        <w:outlineLvl w:val="9"/>
        <w:rPr>
          <w:color w:val="000000"/>
        </w:rPr>
      </w:pPr>
      <w:r>
        <w:t>Schedules 1 and 2.</w:t>
      </w:r>
    </w:p>
    <w:p w:rsidR="004F662A" w:rsidP="008E30E0">
      <w:pPr>
        <w:pStyle w:val="TitleClause"/>
        <w:shd w:val="clear" w:color="auto" w:fill="auto"/>
        <w:outlineLvl w:val="9"/>
        <w:rPr>
          <w:color w:val="000000"/>
        </w:rPr>
      </w:pPr>
      <w:r>
        <w:t>Privacy and data protection</w:t>
      </w:r>
    </w:p>
    <w:p w:rsidR="004F662A" w:rsidP="008E30E0">
      <w:pPr>
        <w:pStyle w:val="Titlesubclause1"/>
        <w:shd w:val="clear" w:color="auto" w:fill="auto"/>
        <w:outlineLvl w:val="9"/>
        <w:rPr>
          <w:color w:val="000000"/>
        </w:rPr>
      </w:pPr>
      <w:r>
        <w:t>Application of the Privacy Act</w:t>
      </w:r>
    </w:p>
    <w:p w:rsidR="004F662A" w:rsidP="008E30E0">
      <w:pPr>
        <w:pStyle w:val="Untitledsubclause2"/>
        <w:shd w:val="clear" w:color="auto" w:fill="auto"/>
        <w:outlineLvl w:val="9"/>
        <w:rPr>
          <w:color w:val="000000"/>
        </w:rPr>
      </w:pPr>
      <w:r>
        <w:t>The Supplier warrants that it complies with and will continue to comply with the Privacy Act and all other applicable privacy laws.</w:t>
      </w:r>
    </w:p>
    <w:p w:rsidR="004F662A" w:rsidP="008E30E0">
      <w:pPr>
        <w:pStyle w:val="Untitledsubclause2"/>
        <w:shd w:val="clear" w:color="auto" w:fill="auto"/>
        <w:outlineLvl w:val="9"/>
        <w:rPr>
          <w:color w:val="000000"/>
        </w:rPr>
      </w:pPr>
      <w:r>
        <w:t>The Customer warrants that it complies with and will continue to comply with the Privacy Act and all other applicable privacy laws.</w:t>
      </w:r>
    </w:p>
    <w:p w:rsidR="004F662A" w:rsidP="008E30E0">
      <w:pPr>
        <w:pStyle w:val="Titlesubclause1"/>
        <w:shd w:val="clear" w:color="auto" w:fill="auto"/>
        <w:outlineLvl w:val="9"/>
        <w:rPr>
          <w:color w:val="000000"/>
        </w:rPr>
      </w:pPr>
      <w:r>
        <w:t>Supplier's privacy obligations</w:t>
      </w:r>
    </w:p>
    <w:p w:rsidR="004F662A" w:rsidP="008E30E0">
      <w:pPr>
        <w:pStyle w:val="NoNumUntitledsubclause1"/>
        <w:shd w:val="clear" w:color="auto" w:fill="auto"/>
        <w:outlineLvl w:val="9"/>
        <w:rPr>
          <w:color w:val="000000"/>
        </w:rPr>
      </w:pPr>
      <w:r>
        <w:t>If the Supplier collects, holds, uses or discloses Personal Information in the course of or relating to this Agreement, the Supplier must:</w:t>
      </w:r>
    </w:p>
    <w:p w:rsidR="004F662A" w:rsidP="008E30E0">
      <w:pPr>
        <w:pStyle w:val="Untitledsubclause2"/>
        <w:shd w:val="clear" w:color="auto" w:fill="auto"/>
        <w:outlineLvl w:val="9"/>
        <w:rPr>
          <w:color w:val="000000"/>
        </w:rPr>
      </w:pPr>
      <w:r>
        <w:t>handle all Personal Information in accordance with the Privacy Policy;</w:t>
      </w:r>
    </w:p>
    <w:p w:rsidR="004F662A" w:rsidP="008E30E0">
      <w:pPr>
        <w:pStyle w:val="Untitledsubclause2"/>
        <w:shd w:val="clear" w:color="auto" w:fill="auto"/>
        <w:outlineLvl w:val="9"/>
        <w:rPr>
          <w:color w:val="000000"/>
        </w:rPr>
      </w:pPr>
      <w:r>
        <w:t>only use Personal Information for the purpose of performing its rights and obligations under this Agreement;</w:t>
      </w:r>
    </w:p>
    <w:p w:rsidR="004F662A" w:rsidP="008E30E0">
      <w:pPr>
        <w:pStyle w:val="Untitledsubclause2"/>
        <w:shd w:val="clear" w:color="auto" w:fill="auto"/>
        <w:outlineLvl w:val="9"/>
        <w:rPr>
          <w:color w:val="000000"/>
        </w:rPr>
      </w:pPr>
      <w:r>
        <w:t>not disclose Personal Information to any third party (including any contractor and subcontractor) without the Customer's prior written consent or as required by law; and</w:t>
      </w:r>
    </w:p>
    <w:p w:rsidR="004F662A" w:rsidP="008E30E0">
      <w:pPr>
        <w:pStyle w:val="Untitledsubclause2"/>
        <w:shd w:val="clear" w:color="auto" w:fill="auto"/>
        <w:outlineLvl w:val="9"/>
        <w:rPr>
          <w:color w:val="000000"/>
        </w:rPr>
      </w:pPr>
      <w:r>
        <w:t>not disclose Personal Information to a person not located in Australia without the express written consent of the Customer, except as disclosed in the Privacy Policy or otherwise permitted by this Agreement.</w:t>
      </w:r>
    </w:p>
    <w:p w:rsidR="004F662A" w:rsidP="008E30E0">
      <w:pPr>
        <w:pStyle w:val="Titlesubclause1"/>
        <w:shd w:val="clear" w:color="auto" w:fill="auto"/>
        <w:outlineLvl w:val="9"/>
        <w:rPr>
          <w:color w:val="000000"/>
        </w:rPr>
      </w:pPr>
      <w:r>
        <w:t>Customer's privacy obligations</w:t>
      </w:r>
    </w:p>
    <w:p w:rsidR="004F662A" w:rsidP="008E30E0">
      <w:pPr>
        <w:pStyle w:val="NoNumUntitledsubclause1"/>
        <w:shd w:val="clear" w:color="auto" w:fill="auto"/>
        <w:outlineLvl w:val="9"/>
        <w:rPr>
          <w:color w:val="000000"/>
        </w:rPr>
      </w:pPr>
      <w:r>
        <w:t>The Customer warrants that it:</w:t>
      </w:r>
    </w:p>
    <w:p w:rsidR="004F662A" w:rsidP="008E30E0">
      <w:pPr>
        <w:pStyle w:val="Untitledsubclause2"/>
        <w:shd w:val="clear" w:color="auto" w:fill="auto"/>
        <w:outlineLvl w:val="9"/>
        <w:rPr>
          <w:color w:val="000000"/>
        </w:rPr>
      </w:pPr>
      <w:r>
        <w:t>will not provide any Sensitive Information to the Supplier unless that information is necessary for the Supplier to perform its obligations under this Agreement and then only with the Supplier's specific written consent; and</w:t>
      </w:r>
    </w:p>
    <w:p w:rsidR="004F662A" w:rsidP="008E30E0">
      <w:pPr>
        <w:pStyle w:val="Untitledsubclause2"/>
        <w:shd w:val="clear" w:color="auto" w:fill="auto"/>
        <w:outlineLvl w:val="9"/>
        <w:rPr>
          <w:color w:val="000000"/>
        </w:rPr>
      </w:pPr>
      <w:r>
        <w:t>has:</w:t>
      </w:r>
    </w:p>
    <w:p w:rsidR="004F662A" w:rsidP="008E30E0">
      <w:pPr>
        <w:pStyle w:val="Untitledsubclause3"/>
        <w:shd w:val="clear" w:color="auto" w:fill="auto"/>
        <w:outlineLvl w:val="9"/>
        <w:rPr>
          <w:color w:val="000000"/>
        </w:rPr>
      </w:pPr>
      <w:r>
        <w:t>made all necessary notifications required by APP 5, on behalf of itself and the Supplier to;</w:t>
      </w:r>
    </w:p>
    <w:p w:rsidR="004F662A" w:rsidP="008E30E0">
      <w:pPr>
        <w:pStyle w:val="Untitledsubclause3"/>
        <w:shd w:val="clear" w:color="auto" w:fill="auto"/>
        <w:outlineLvl w:val="9"/>
        <w:rPr>
          <w:color w:val="000000"/>
        </w:rPr>
      </w:pPr>
      <w:r>
        <w:t>obtained all necessary consents required by APP 6 from; and</w:t>
      </w:r>
    </w:p>
    <w:p w:rsidR="004F662A" w:rsidP="008E30E0">
      <w:pPr>
        <w:pStyle w:val="Untitledsubclause3"/>
        <w:shd w:val="clear" w:color="auto" w:fill="auto"/>
        <w:outlineLvl w:val="9"/>
        <w:rPr>
          <w:color w:val="000000"/>
        </w:rPr>
      </w:pPr>
      <w:r>
        <w:t>obtained consent as required by APP 8.2(b), on behalf of itself and the Supplier from,</w:t>
      </w:r>
    </w:p>
    <w:p w:rsidR="004F662A" w:rsidRPr="002851EF" w:rsidP="008E30E0">
      <w:pPr>
        <w:pStyle w:val="Parasubclause2"/>
        <w:shd w:val="clear" w:color="auto" w:fill="auto"/>
        <w:outlineLvl w:val="9"/>
        <w:rPr>
          <w:color w:val="000000"/>
        </w:rPr>
      </w:pPr>
      <w:r>
        <w:t>the individuals whose Personal Information it is disclosing to the Supplier in the course of this Agreement to enable the Supplier to lawfully use the Personal Information and perform its obligations in accordance with this Agreement.</w:t>
      </w:r>
    </w:p>
    <w:p w:rsidR="004F662A" w:rsidP="008E30E0">
      <w:pPr>
        <w:pStyle w:val="Titlesubclause1"/>
        <w:shd w:val="clear" w:color="auto" w:fill="auto"/>
        <w:outlineLvl w:val="9"/>
        <w:rPr>
          <w:color w:val="000000"/>
        </w:rPr>
      </w:pPr>
      <w:r>
        <w:t>Data Incident and Data Breach Investigation</w:t>
      </w:r>
    </w:p>
    <w:p w:rsidR="004F662A" w:rsidP="008E30E0">
      <w:pPr>
        <w:pStyle w:val="NoNumUntitledsubclause1"/>
        <w:shd w:val="clear" w:color="auto" w:fill="auto"/>
        <w:outlineLvl w:val="9"/>
        <w:rPr>
          <w:color w:val="000000"/>
        </w:rPr>
      </w:pPr>
      <w:r>
        <w:t>If the Supplier becomes aware, or there are reasonable grounds to suspect, that a Data Incident has occurred, the Supplier must:</w:t>
      </w:r>
    </w:p>
    <w:p w:rsidR="004F662A" w:rsidP="008E30E0">
      <w:pPr>
        <w:pStyle w:val="Untitledsubclause2"/>
        <w:shd w:val="clear" w:color="auto" w:fill="auto"/>
        <w:outlineLvl w:val="9"/>
        <w:rPr>
          <w:color w:val="000000"/>
        </w:rPr>
      </w:pPr>
      <w:r>
        <w:t>immediately take reasonable steps to, and bear any costs of, containing and resolving the Data Incident and preventing any further serious harm to affected individuals (for the avoidance of doubt, this obligation is ongoing);</w:t>
      </w:r>
    </w:p>
    <w:p w:rsidR="004F662A" w:rsidP="008E30E0">
      <w:pPr>
        <w:pStyle w:val="Untitledsubclause2"/>
        <w:shd w:val="clear" w:color="auto" w:fill="auto"/>
        <w:outlineLvl w:val="9"/>
        <w:rPr>
          <w:color w:val="000000"/>
        </w:rPr>
      </w:pPr>
      <w:r>
        <w:t>immediately notify the Customer in writing stating:</w:t>
      </w:r>
    </w:p>
    <w:p w:rsidR="004F662A" w:rsidP="008E30E0">
      <w:pPr>
        <w:pStyle w:val="Untitledsubclause3"/>
        <w:shd w:val="clear" w:color="auto" w:fill="auto"/>
        <w:outlineLvl w:val="9"/>
        <w:rPr>
          <w:color w:val="000000"/>
        </w:rPr>
      </w:pPr>
      <w:r>
        <w:t>the nature and details of the Data Incident;</w:t>
      </w:r>
    </w:p>
    <w:p w:rsidR="004F662A" w:rsidP="008E30E0">
      <w:pPr>
        <w:pStyle w:val="Untitledsubclause3"/>
        <w:shd w:val="clear" w:color="auto" w:fill="auto"/>
        <w:outlineLvl w:val="9"/>
        <w:rPr>
          <w:color w:val="000000"/>
        </w:rPr>
      </w:pPr>
      <w:r>
        <w:t>the specific Personal Information affected;</w:t>
      </w:r>
    </w:p>
    <w:p w:rsidR="004F662A" w:rsidP="008E30E0">
      <w:pPr>
        <w:pStyle w:val="Untitledsubclause3"/>
        <w:shd w:val="clear" w:color="auto" w:fill="auto"/>
        <w:outlineLvl w:val="9"/>
        <w:rPr>
          <w:color w:val="000000"/>
        </w:rPr>
      </w:pPr>
      <w:r>
        <w:t>the actions taken by the Supplier including those required at clause 13.4(a); and</w:t>
      </w:r>
    </w:p>
    <w:p w:rsidR="004F662A" w:rsidP="008E30E0">
      <w:pPr>
        <w:pStyle w:val="Untitledsubclause3"/>
        <w:shd w:val="clear" w:color="auto" w:fill="auto"/>
        <w:outlineLvl w:val="9"/>
        <w:rPr>
          <w:color w:val="000000"/>
        </w:rPr>
      </w:pPr>
      <w:r>
        <w:t>the recommended next steps for each of the parties and the affected individuals;</w:t>
      </w:r>
    </w:p>
    <w:p w:rsidR="004F662A" w:rsidP="008E30E0">
      <w:pPr>
        <w:pStyle w:val="Untitledsubclause2"/>
        <w:shd w:val="clear" w:color="auto" w:fill="auto"/>
        <w:outlineLvl w:val="9"/>
        <w:rPr>
          <w:color w:val="000000"/>
        </w:rPr>
      </w:pPr>
      <w:r>
        <w:t>identify whether the Data Incident is an Eligible Data Breach by conducting a thorough investigation of the Data Incident within 20 days of becoming aware of the Data Incident (Data Breach Investigation);</w:t>
      </w:r>
    </w:p>
    <w:p w:rsidR="004F662A" w:rsidP="008E30E0">
      <w:pPr>
        <w:pStyle w:val="Untitledsubclause2"/>
        <w:shd w:val="clear" w:color="auto" w:fill="auto"/>
        <w:outlineLvl w:val="9"/>
        <w:rPr>
          <w:color w:val="000000"/>
        </w:rPr>
      </w:pPr>
      <w:r>
        <w:t>provide a full, unedited and unredacted copy of the report of the Data Breach Investigation in clause 13.4(c) to the Customer on completion (for the avoidance of doubt, the Supplier agrees not to withhold any information from the report and expressly waives its right to any claim of privilege (including legal professional privilege) to any part of report); and</w:t>
      </w:r>
    </w:p>
    <w:p w:rsidR="004F662A" w:rsidP="008E30E0">
      <w:pPr>
        <w:pStyle w:val="Untitledsubclause2"/>
        <w:shd w:val="clear" w:color="auto" w:fill="auto"/>
        <w:outlineLvl w:val="9"/>
        <w:rPr>
          <w:color w:val="000000"/>
        </w:rPr>
      </w:pPr>
      <w:r>
        <w:t>engage in regular open and good faith discussions with the Customer regarding:</w:t>
      </w:r>
    </w:p>
    <w:p w:rsidR="004F662A" w:rsidP="008E30E0">
      <w:pPr>
        <w:pStyle w:val="Untitledsubclause3"/>
        <w:shd w:val="clear" w:color="auto" w:fill="auto"/>
        <w:outlineLvl w:val="9"/>
        <w:rPr>
          <w:color w:val="000000"/>
        </w:rPr>
      </w:pPr>
      <w:r>
        <w:t>the conduct and outcomes of the Data Breach Investigation;</w:t>
      </w:r>
    </w:p>
    <w:p w:rsidR="004F662A" w:rsidP="008E30E0">
      <w:pPr>
        <w:pStyle w:val="Untitledsubclause3"/>
        <w:shd w:val="clear" w:color="auto" w:fill="auto"/>
        <w:outlineLvl w:val="9"/>
        <w:rPr>
          <w:color w:val="000000"/>
        </w:rPr>
      </w:pPr>
      <w:r>
        <w:t>its ongoing actions to contain and resolve the Data Incident and prevent any further serious harm to affected individuals in clause 13.4(a);</w:t>
      </w:r>
    </w:p>
    <w:p w:rsidR="004F662A" w:rsidP="008E30E0">
      <w:pPr>
        <w:pStyle w:val="Untitledsubclause3"/>
        <w:shd w:val="clear" w:color="auto" w:fill="auto"/>
        <w:outlineLvl w:val="9"/>
        <w:rPr>
          <w:color w:val="000000"/>
        </w:rPr>
      </w:pPr>
      <w:r>
        <w:t>in the case of an Eligible Data Breach, whether the Customer or the Supplier will make the relevant notifications under the Privacy Act and whether and to what extent any public or media statements will be made (in each case, the Customer's decision to be final); and</w:t>
      </w:r>
    </w:p>
    <w:p w:rsidR="004F662A" w:rsidP="008E30E0">
      <w:pPr>
        <w:pStyle w:val="Untitledsubclause3"/>
        <w:shd w:val="clear" w:color="auto" w:fill="auto"/>
        <w:outlineLvl w:val="9"/>
        <w:rPr>
          <w:color w:val="000000"/>
        </w:rPr>
      </w:pPr>
      <w:r>
        <w:t>where the Supplier is making the relevant notifications at clause 13.4(e)(iii), the Supplier must subject the notifications to the Customer for approval before they are made (such approval to be given promptly and not to be unreasonably withheld).</w:t>
      </w:r>
    </w:p>
    <w:p w:rsidR="004F662A" w:rsidP="008E30E0">
      <w:pPr>
        <w:pStyle w:val="Titlesubclause1"/>
        <w:shd w:val="clear" w:color="auto" w:fill="auto"/>
        <w:outlineLvl w:val="9"/>
        <w:rPr>
          <w:color w:val="000000"/>
        </w:rPr>
      </w:pPr>
      <w:r>
        <w:t>Data security</w:t>
      </w:r>
    </w:p>
    <w:p w:rsidR="004F662A" w:rsidP="008E30E0">
      <w:pPr>
        <w:pStyle w:val="NoNumUntitledsubclause1"/>
        <w:shd w:val="clear" w:color="auto" w:fill="auto"/>
        <w:outlineLvl w:val="9"/>
        <w:rPr>
          <w:color w:val="000000"/>
        </w:rPr>
      </w:pPr>
      <w:r>
        <w:t>Security measures include authenticated access, role-aware access controls, client-side encryption for patient identifying information where implemented, separation of identity data from clinical case content where practical, de-identification controls, tamper-evident audit records, backups, incident response procedures and secure configuration of hosting and communication providers.</w:t>
      </w:r>
    </w:p>
    <w:p w:rsidR="004F662A" w:rsidP="008E30E0">
      <w:pPr>
        <w:pStyle w:val="TitleClause"/>
        <w:shd w:val="clear" w:color="auto" w:fill="auto"/>
        <w:outlineLvl w:val="9"/>
        <w:rPr>
          <w:color w:val="000000"/>
        </w:rPr>
      </w:pPr>
      <w:r>
        <w:t>Notices</w:t>
      </w:r>
    </w:p>
    <w:p w:rsidR="004F662A" w:rsidRPr="002109ED" w:rsidP="008E30E0">
      <w:pPr>
        <w:pStyle w:val="Titlesubclause1"/>
        <w:shd w:val="clear" w:color="auto" w:fill="auto"/>
        <w:outlineLvl w:val="9"/>
        <w:rPr>
          <w:b w:val="0"/>
          <w:color w:val="000000"/>
        </w:rPr>
      </w:pPr>
      <w:r>
        <w:t>Form of Notice</w:t>
      </w:r>
    </w:p>
    <w:p w:rsidR="004F662A" w:rsidRPr="002109ED" w:rsidP="008E30E0">
      <w:pPr>
        <w:pStyle w:val="Parasubclause1"/>
        <w:shd w:val="clear" w:color="auto" w:fill="auto"/>
        <w:outlineLvl w:val="9"/>
        <w:rPr>
          <w:color w:val="000000"/>
        </w:rPr>
      </w:pPr>
      <w:r>
        <w:t>A notice or other communication to a party under this Agreement (Notice) must be:</w:t>
      </w:r>
    </w:p>
    <w:p w:rsidR="004F662A" w:rsidRPr="002109ED" w:rsidP="008E30E0">
      <w:pPr>
        <w:pStyle w:val="Untitledsubclause2"/>
        <w:shd w:val="clear" w:color="auto" w:fill="auto"/>
        <w:outlineLvl w:val="9"/>
        <w:rPr>
          <w:color w:val="000000"/>
        </w:rPr>
      </w:pPr>
      <w:r>
        <w:t>in writing and in English;</w:t>
      </w:r>
    </w:p>
    <w:p w:rsidR="004F662A" w:rsidRPr="002109ED" w:rsidP="008E30E0">
      <w:pPr>
        <w:pStyle w:val="Untitledsubclause2"/>
        <w:shd w:val="clear" w:color="auto" w:fill="auto"/>
        <w:outlineLvl w:val="9"/>
        <w:rPr>
          <w:color w:val="000000"/>
        </w:rPr>
      </w:pPr>
      <w:r>
        <w:t>signed by the sender or a person authorised to sign on behalf of the sender;</w:t>
      </w:r>
    </w:p>
    <w:p w:rsidR="004F662A" w:rsidP="008E30E0">
      <w:pPr>
        <w:pStyle w:val="Untitledsubclause2"/>
        <w:shd w:val="clear" w:color="auto" w:fill="auto"/>
        <w:outlineLvl w:val="9"/>
        <w:rPr>
          <w:color w:val="000000"/>
        </w:rPr>
      </w:pPr>
      <w:r>
        <w:t>addressed to that party in accordance with the details in the table below (or any alternative details given in writing to the sending party):</w:t>
      </w:r>
    </w:p>
    <w:tbl>
      <w:tblPr>
        <w:tblStyle w:val="TableGrid"/>
        <w:tblW w:w="4000" w:type="pct"/>
        <w:tblLook w:val="04A0"/>
      </w:tblPr>
      <w:tblGrid>
        <w:gridCol w:w="2136"/>
        <w:gridCol w:w="2136"/>
        <w:gridCol w:w="2137"/>
        <w:gridCol w:w="2137"/>
      </w:tblGrid>
      <w:tr w:rsidTr="00BC7CFC">
        <w:tblPrEx>
          <w:tblW w:w="4000" w:type="pct"/>
          <w:tblLook w:val="04A0"/>
        </w:tblPrEx>
        <w:trPr>
          <w:trHeight w:val="611"/>
        </w:trPr>
        <w:tc>
          <w:tcPr>
            <w:tcW w:w="1250" w:type="pct"/>
            <w:tcBorders>
              <w:top w:val="single" w:sz="4" w:space="0" w:color="auto"/>
              <w:left w:val="single" w:sz="4" w:space="0" w:color="auto"/>
              <w:bottom w:val="single" w:sz="4" w:space="0" w:color="auto"/>
              <w:right w:val="single" w:sz="4" w:space="0" w:color="auto"/>
            </w:tcBorders>
          </w:tcPr>
          <w:p>
            <w:r>
              <w:t>Party</w:t>
            </w:r>
          </w:p>
        </w:tc>
        <w:tc>
          <w:tcPr>
            <w:tcW w:w="1250" w:type="pct"/>
            <w:tcBorders>
              <w:top w:val="single" w:sz="4" w:space="0" w:color="auto"/>
              <w:left w:val="single" w:sz="4" w:space="0" w:color="auto"/>
              <w:bottom w:val="single" w:sz="4" w:space="0" w:color="auto"/>
              <w:right w:val="single" w:sz="4" w:space="0" w:color="auto"/>
            </w:tcBorders>
          </w:tcPr>
          <w:p>
            <w:r>
              <w:t>Address</w:t>
            </w:r>
          </w:p>
        </w:tc>
        <w:tc>
          <w:tcPr>
            <w:tcW w:w="1250" w:type="pct"/>
            <w:tcBorders>
              <w:top w:val="single" w:sz="4" w:space="0" w:color="auto"/>
              <w:left w:val="single" w:sz="4" w:space="0" w:color="auto"/>
              <w:bottom w:val="single" w:sz="4" w:space="0" w:color="auto"/>
              <w:right w:val="single" w:sz="4" w:space="0" w:color="auto"/>
            </w:tcBorders>
          </w:tcPr>
          <w:p>
            <w:r>
              <w:t>Attention</w:t>
            </w:r>
          </w:p>
        </w:tc>
        <w:tc>
          <w:tcPr>
            <w:tcW w:w="1250" w:type="pct"/>
            <w:tcBorders>
              <w:top w:val="single" w:sz="4" w:space="0" w:color="auto"/>
              <w:left w:val="single" w:sz="4" w:space="0" w:color="auto"/>
              <w:bottom w:val="single" w:sz="4" w:space="0" w:color="auto"/>
              <w:right w:val="single" w:sz="4" w:space="0" w:color="auto"/>
            </w:tcBorders>
          </w:tcPr>
          <w:p>
            <w:r>
              <w:t>Email</w:t>
            </w:r>
          </w:p>
        </w:tc>
      </w:tr>
      <w:tr w:rsidTr="00BC7CFC">
        <w:tblPrEx>
          <w:tblW w:w="4000" w:type="pct"/>
          <w:tblLook w:val="04A0"/>
        </w:tblPrEx>
        <w:trPr>
          <w:trHeight w:val="846"/>
        </w:trPr>
        <w:tc>
          <w:tcPr>
            <w:tcW w:w="1250" w:type="pct"/>
            <w:tcBorders>
              <w:top w:val="single" w:sz="4" w:space="0" w:color="auto"/>
              <w:left w:val="single" w:sz="4" w:space="0" w:color="auto"/>
              <w:bottom w:val="single" w:sz="4" w:space="0" w:color="auto"/>
              <w:right w:val="single" w:sz="4" w:space="0" w:color="auto"/>
            </w:tcBorders>
          </w:tcPr>
          <w:p>
            <w:r>
              <w:t>Supplier</w:t>
            </w:r>
          </w:p>
        </w:tc>
        <w:tc>
          <w:tcPr>
            <w:tcW w:w="1250" w:type="pct"/>
            <w:tcBorders>
              <w:top w:val="single" w:sz="4" w:space="0" w:color="auto"/>
              <w:left w:val="single" w:sz="4" w:space="0" w:color="auto"/>
              <w:bottom w:val="single" w:sz="4" w:space="0" w:color="auto"/>
              <w:right w:val="single" w:sz="4" w:space="0" w:color="auto"/>
            </w:tcBorders>
          </w:tcPr>
          <w:p>
            <w:r>
              <w:t>Australia</w:t>
            </w:r>
          </w:p>
        </w:tc>
        <w:tc>
          <w:tcPr>
            <w:tcW w:w="1250" w:type="pct"/>
            <w:tcBorders>
              <w:top w:val="single" w:sz="4" w:space="0" w:color="auto"/>
              <w:left w:val="single" w:sz="4" w:space="0" w:color="auto"/>
              <w:bottom w:val="single" w:sz="4" w:space="0" w:color="auto"/>
              <w:right w:val="single" w:sz="4" w:space="0" w:color="auto"/>
            </w:tcBorders>
          </w:tcPr>
          <w:p>
            <w:r>
              <w:t>Legal notices</w:t>
            </w:r>
          </w:p>
        </w:tc>
        <w:tc>
          <w:tcPr>
            <w:tcW w:w="1250" w:type="pct"/>
            <w:tcBorders>
              <w:top w:val="single" w:sz="4" w:space="0" w:color="auto"/>
              <w:left w:val="single" w:sz="4" w:space="0" w:color="auto"/>
              <w:bottom w:val="single" w:sz="4" w:space="0" w:color="auto"/>
              <w:right w:val="single" w:sz="4" w:space="0" w:color="auto"/>
            </w:tcBorders>
          </w:tcPr>
          <w:p>
            <w:r>
              <w:t>support@episapient.com</w:t>
            </w:r>
          </w:p>
        </w:tc>
      </w:tr>
      <w:tr w:rsidTr="00BC7CFC">
        <w:tblPrEx>
          <w:tblW w:w="4000" w:type="pct"/>
          <w:tblLook w:val="04A0"/>
        </w:tblPrEx>
        <w:trPr>
          <w:trHeight w:val="844"/>
        </w:trPr>
        <w:tc>
          <w:tcPr>
            <w:tcW w:w="1250" w:type="pct"/>
            <w:tcBorders>
              <w:top w:val="single" w:sz="4" w:space="0" w:color="auto"/>
              <w:left w:val="single" w:sz="4" w:space="0" w:color="auto"/>
              <w:bottom w:val="single" w:sz="4" w:space="0" w:color="auto"/>
              <w:right w:val="single" w:sz="4" w:space="0" w:color="auto"/>
            </w:tcBorders>
          </w:tcPr>
          <w:p>
            <w:r>
              <w:t>Customer</w:t>
            </w:r>
          </w:p>
        </w:tc>
        <w:tc>
          <w:tcPr>
            <w:tcW w:w="1250" w:type="pct"/>
            <w:tcBorders>
              <w:top w:val="single" w:sz="4" w:space="0" w:color="auto"/>
              <w:left w:val="single" w:sz="4" w:space="0" w:color="auto"/>
              <w:bottom w:val="single" w:sz="4" w:space="0" w:color="auto"/>
              <w:right w:val="single" w:sz="4" w:space="0" w:color="auto"/>
            </w:tcBorders>
          </w:tcPr>
          <w:p>
            <w:r>
              <w:t>As specified in the order form or subscription record</w:t>
            </w:r>
          </w:p>
        </w:tc>
        <w:tc>
          <w:tcPr>
            <w:tcW w:w="1250" w:type="pct"/>
            <w:tcBorders>
              <w:top w:val="single" w:sz="4" w:space="0" w:color="auto"/>
              <w:left w:val="single" w:sz="4" w:space="0" w:color="auto"/>
              <w:bottom w:val="single" w:sz="4" w:space="0" w:color="auto"/>
              <w:right w:val="single" w:sz="4" w:space="0" w:color="auto"/>
            </w:tcBorders>
          </w:tcPr>
          <w:p>
            <w:r>
              <w:t>Customer legal notices contact</w:t>
            </w:r>
          </w:p>
        </w:tc>
        <w:tc>
          <w:tcPr>
            <w:tcW w:w="1250" w:type="pct"/>
            <w:tcBorders>
              <w:top w:val="single" w:sz="4" w:space="0" w:color="auto"/>
              <w:left w:val="single" w:sz="4" w:space="0" w:color="auto"/>
              <w:bottom w:val="single" w:sz="4" w:space="0" w:color="auto"/>
              <w:right w:val="single" w:sz="4" w:space="0" w:color="auto"/>
            </w:tcBorders>
          </w:tcPr>
          <w:p>
            <w:r>
              <w:t>As specified in the order form or subscription record</w:t>
            </w:r>
          </w:p>
        </w:tc>
      </w:tr>
    </w:tbl>
    <w:p w:rsidR="004F662A" w:rsidRPr="00FC4AB7" w:rsidP="008E30E0">
      <w:pPr>
        <w:pStyle w:val="Titlesubclause1"/>
        <w:shd w:val="clear" w:color="auto" w:fill="auto"/>
        <w:outlineLvl w:val="9"/>
        <w:rPr>
          <w:b w:val="0"/>
          <w:color w:val="000000"/>
        </w:rPr>
      </w:pPr>
      <w:r>
        <w:t>How Notice is given and received</w:t>
      </w:r>
    </w:p>
    <w:p w:rsidR="004F662A" w:rsidRPr="002109ED" w:rsidP="008E30E0">
      <w:pPr>
        <w:pStyle w:val="Untitledsubclause2"/>
        <w:shd w:val="clear" w:color="auto" w:fill="auto"/>
        <w:outlineLvl w:val="9"/>
        <w:rPr>
          <w:color w:val="000000"/>
        </w:rPr>
      </w:pPr>
      <w:r>
        <w:t>A Notice must be given by one of the methods set out in the table below.</w:t>
      </w:r>
    </w:p>
    <w:p w:rsidR="004F662A" w:rsidP="008E30E0">
      <w:pPr>
        <w:pStyle w:val="Untitledsubclause2"/>
        <w:shd w:val="clear" w:color="auto" w:fill="auto"/>
        <w:outlineLvl w:val="9"/>
        <w:rPr>
          <w:color w:val="000000"/>
        </w:rPr>
      </w:pPr>
      <w:r>
        <w:t>A Notice is regarded as given and received at the time set out in the table below. However, if this means the Notice would be regarded as given and received outside the period between 9.00 am and 5.00 pm (addressee's time) on a Business Day (Business Hours Period), then the Notice will instead be regarded as given and received at the start of the following Business Hours Period.</w:t>
      </w:r>
    </w:p>
    <w:tbl>
      <w:tblPr>
        <w:tblStyle w:val="TableGrid"/>
        <w:tblW w:w="0" w:type="auto"/>
        <w:tblLook w:val="04A0"/>
      </w:tblPr>
      <w:tblGrid>
        <w:gridCol w:w="5341"/>
        <w:gridCol w:w="5342"/>
      </w:tblGrid>
      <w:tr w:rsidTr="00BC7CFC">
        <w:tblPrEx>
          <w:tblW w:w="0" w:type="auto"/>
          <w:tblLook w:val="04A0"/>
        </w:tblPrEx>
        <w:tc>
          <w:tcPr>
            <w:tcW w:w="5341" w:type="dxa"/>
            <w:tcBorders>
              <w:top w:val="single" w:sz="4" w:space="0" w:color="auto"/>
              <w:left w:val="single" w:sz="4" w:space="0" w:color="auto"/>
              <w:bottom w:val="single" w:sz="4" w:space="0" w:color="auto"/>
              <w:right w:val="single" w:sz="4" w:space="0" w:color="auto"/>
            </w:tcBorders>
          </w:tcPr>
          <w:p>
            <w:r>
              <w:t>Notice delivery method</w:t>
            </w:r>
          </w:p>
        </w:tc>
        <w:tc>
          <w:tcPr>
            <w:tcW w:w="5342" w:type="dxa"/>
            <w:tcBorders>
              <w:top w:val="single" w:sz="4" w:space="0" w:color="auto"/>
              <w:left w:val="single" w:sz="4" w:space="0" w:color="auto"/>
              <w:bottom w:val="single" w:sz="4" w:space="0" w:color="auto"/>
              <w:right w:val="single" w:sz="4" w:space="0" w:color="auto"/>
            </w:tcBorders>
          </w:tcPr>
          <w:p>
            <w:r>
              <w:t>When Notice is regarded as given and received</w:t>
            </w:r>
          </w:p>
        </w:tc>
      </w:tr>
      <w:tr w:rsidTr="00BC7CFC">
        <w:tblPrEx>
          <w:tblW w:w="0" w:type="auto"/>
          <w:tblLook w:val="04A0"/>
        </w:tblPrEx>
        <w:tc>
          <w:tcPr>
            <w:tcW w:w="5341" w:type="dxa"/>
            <w:tcBorders>
              <w:top w:val="single" w:sz="4" w:space="0" w:color="auto"/>
              <w:left w:val="single" w:sz="4" w:space="0" w:color="auto"/>
              <w:bottom w:val="single" w:sz="4" w:space="0" w:color="auto"/>
              <w:right w:val="single" w:sz="4" w:space="0" w:color="auto"/>
            </w:tcBorders>
          </w:tcPr>
          <w:p>
            <w:r>
              <w:t>By hand to the nominated address</w:t>
            </w:r>
          </w:p>
        </w:tc>
        <w:tc>
          <w:tcPr>
            <w:tcW w:w="5342" w:type="dxa"/>
            <w:tcBorders>
              <w:top w:val="single" w:sz="4" w:space="0" w:color="auto"/>
              <w:left w:val="single" w:sz="4" w:space="0" w:color="auto"/>
              <w:bottom w:val="single" w:sz="4" w:space="0" w:color="auto"/>
              <w:right w:val="single" w:sz="4" w:space="0" w:color="auto"/>
            </w:tcBorders>
          </w:tcPr>
          <w:p>
            <w:r>
              <w:t>When delivered to the nominated address.</w:t>
            </w:r>
          </w:p>
        </w:tc>
      </w:tr>
      <w:tr w:rsidTr="00BC7CFC">
        <w:tblPrEx>
          <w:tblW w:w="0" w:type="auto"/>
          <w:tblLook w:val="04A0"/>
        </w:tblPrEx>
        <w:tc>
          <w:tcPr>
            <w:tcW w:w="5341" w:type="dxa"/>
            <w:tcBorders>
              <w:top w:val="single" w:sz="4" w:space="0" w:color="auto"/>
              <w:left w:val="single" w:sz="4" w:space="0" w:color="auto"/>
              <w:bottom w:val="single" w:sz="4" w:space="0" w:color="auto"/>
              <w:right w:val="single" w:sz="4" w:space="0" w:color="auto"/>
            </w:tcBorders>
          </w:tcPr>
          <w:p>
            <w:r>
              <w:t>By pre-paid post to the nominated address</w:t>
            </w:r>
          </w:p>
        </w:tc>
        <w:tc>
          <w:tcPr>
            <w:tcW w:w="5342" w:type="dxa"/>
            <w:tcBorders>
              <w:top w:val="single" w:sz="4" w:space="0" w:color="auto"/>
              <w:left w:val="single" w:sz="4" w:space="0" w:color="auto"/>
              <w:bottom w:val="single" w:sz="4" w:space="0" w:color="auto"/>
              <w:right w:val="single" w:sz="4" w:space="0" w:color="auto"/>
            </w:tcBorders>
          </w:tcPr>
          <w:p>
            <w:r>
              <w:t>At 9.00 am (addressee's time) on the second Business Day after the date of posting.</w:t>
            </w:r>
          </w:p>
        </w:tc>
      </w:tr>
      <w:tr w:rsidTr="00BC7CFC">
        <w:tblPrEx>
          <w:tblW w:w="0" w:type="auto"/>
          <w:tblLook w:val="04A0"/>
        </w:tblPrEx>
        <w:tc>
          <w:tcPr>
            <w:tcW w:w="5341" w:type="dxa"/>
            <w:tcBorders>
              <w:top w:val="single" w:sz="4" w:space="0" w:color="auto"/>
              <w:left w:val="single" w:sz="4" w:space="0" w:color="auto"/>
              <w:bottom w:val="single" w:sz="4" w:space="0" w:color="auto"/>
              <w:right w:val="single" w:sz="4" w:space="0" w:color="auto"/>
            </w:tcBorders>
          </w:tcPr>
          <w:p>
            <w:r>
              <w:t>By email to the nominated email address</w:t>
            </w:r>
          </w:p>
        </w:tc>
        <w:tc>
          <w:tcPr>
            <w:tcW w:w="5342" w:type="dxa"/>
            <w:tcBorders>
              <w:top w:val="single" w:sz="4" w:space="0" w:color="auto"/>
              <w:left w:val="single" w:sz="4" w:space="0" w:color="auto"/>
              <w:bottom w:val="single" w:sz="4" w:space="0" w:color="auto"/>
              <w:right w:val="single" w:sz="4" w:space="0" w:color="auto"/>
            </w:tcBorders>
          </w:tcPr>
          <w:p>
            <w:r>
              <w:t>Five hours after the time sent unless the sender receives an automated message that the email has not been delivered.</w:t>
            </w:r>
          </w:p>
        </w:tc>
      </w:tr>
    </w:tbl>
    <w:p w:rsidR="004F662A" w:rsidP="008E30E0">
      <w:pPr>
        <w:pStyle w:val="TitleClause"/>
        <w:shd w:val="clear" w:color="auto" w:fill="auto"/>
        <w:outlineLvl w:val="9"/>
        <w:rPr>
          <w:color w:val="000000"/>
        </w:rPr>
      </w:pPr>
      <w:r>
        <w:t>General</w:t>
      </w:r>
    </w:p>
    <w:p w:rsidR="004F662A" w:rsidP="008E30E0">
      <w:pPr>
        <w:pStyle w:val="Titlesubclause1"/>
        <w:shd w:val="clear" w:color="auto" w:fill="auto"/>
        <w:outlineLvl w:val="9"/>
        <w:rPr>
          <w:color w:val="000000"/>
        </w:rPr>
      </w:pPr>
      <w:r>
        <w:t>Variation</w:t>
      </w:r>
    </w:p>
    <w:p w:rsidR="004F662A" w:rsidRPr="002109ED" w:rsidP="008E30E0">
      <w:pPr>
        <w:pStyle w:val="Parasubclause1"/>
        <w:shd w:val="clear" w:color="auto" w:fill="auto"/>
        <w:outlineLvl w:val="9"/>
        <w:rPr>
          <w:color w:val="000000"/>
        </w:rPr>
      </w:pPr>
      <w:r>
        <w:t>An amendment or variation of any term of this Agreement must be in writing and signed by each party.</w:t>
      </w:r>
    </w:p>
    <w:p w:rsidR="004F662A" w:rsidP="008E30E0">
      <w:pPr>
        <w:pStyle w:val="Titlesubclause1"/>
        <w:shd w:val="clear" w:color="auto" w:fill="auto"/>
        <w:outlineLvl w:val="9"/>
        <w:rPr>
          <w:color w:val="000000"/>
        </w:rPr>
      </w:pPr>
      <w:r>
        <w:t>No waiver</w:t>
      </w:r>
    </w:p>
    <w:p w:rsidR="004F662A" w:rsidRPr="002109ED" w:rsidP="008E30E0">
      <w:pPr>
        <w:pStyle w:val="Untitledsubclause2"/>
        <w:shd w:val="clear" w:color="auto" w:fill="auto"/>
        <w:outlineLvl w:val="9"/>
        <w:rPr>
          <w:color w:val="000000"/>
        </w:rPr>
      </w:pPr>
      <w:r>
        <w:t>No party may rely on the words or conduct of any other party as being a waiver of any right, power or remedy arising under or in connection with this Agreement unless the other party or parties expressly grant a waiver of the right, power or remedy. Any waiver must be in writing, signed by the party granting the waiver and is only effective to the extent set out in that waiver.</w:t>
      </w:r>
    </w:p>
    <w:p w:rsidR="004F662A" w:rsidRPr="002109ED" w:rsidP="008E30E0">
      <w:pPr>
        <w:pStyle w:val="Untitledsubclause2"/>
        <w:shd w:val="clear" w:color="auto" w:fill="auto"/>
        <w:outlineLvl w:val="9"/>
        <w:rPr>
          <w:color w:val="000000"/>
        </w:rPr>
      </w:pPr>
      <w:r>
        <w:t>Words or conduct referred to in clause 15.2(a) include any delay in exercising a right, any election between rights and remedies and any conduct that might otherwise give rise to an estoppel.</w:t>
      </w:r>
    </w:p>
    <w:p w:rsidR="004F662A" w:rsidP="008E30E0">
      <w:pPr>
        <w:pStyle w:val="Titlesubclause1"/>
        <w:shd w:val="clear" w:color="auto" w:fill="auto"/>
        <w:outlineLvl w:val="9"/>
        <w:rPr>
          <w:color w:val="000000"/>
        </w:rPr>
      </w:pPr>
      <w:r>
        <w:t>Assignment, novation and other dealings</w:t>
      </w:r>
    </w:p>
    <w:p w:rsidR="004F662A" w:rsidRPr="002109ED" w:rsidP="008E30E0">
      <w:pPr>
        <w:pStyle w:val="Untitledsubclause2"/>
        <w:shd w:val="clear" w:color="auto" w:fill="auto"/>
        <w:outlineLvl w:val="9"/>
        <w:rPr>
          <w:color w:val="000000"/>
        </w:rPr>
      </w:pPr>
      <w:r>
        <w:t>Except where this Agreement provides otherwise, any rights of a party that arise out of or under this Agreement are not assignable by the party without the prior written consent of the other parties, whose consent must not be unreasonably withheld.</w:t>
      </w:r>
    </w:p>
    <w:p w:rsidR="004F662A" w:rsidRPr="002109ED" w:rsidP="008E30E0">
      <w:pPr>
        <w:pStyle w:val="Untitledsubclause2"/>
        <w:shd w:val="clear" w:color="auto" w:fill="auto"/>
        <w:outlineLvl w:val="9"/>
        <w:rPr>
          <w:color w:val="000000"/>
        </w:rPr>
      </w:pPr>
      <w:r>
        <w:t>A breach of clause 15.3(a) by a party entitles the other parties to terminate this Agreement.</w:t>
      </w:r>
    </w:p>
    <w:p w:rsidR="004F662A" w:rsidRPr="002109ED" w:rsidP="008E30E0">
      <w:pPr>
        <w:pStyle w:val="Untitledsubclause2"/>
        <w:shd w:val="clear" w:color="auto" w:fill="auto"/>
        <w:outlineLvl w:val="9"/>
        <w:rPr>
          <w:color w:val="000000"/>
        </w:rPr>
      </w:pPr>
      <w:r>
        <w:t>Clause 15.3(b) does not affect the construction of any other part of this Agreement.</w:t>
      </w:r>
    </w:p>
    <w:p w:rsidR="004F662A" w:rsidP="008E30E0">
      <w:pPr>
        <w:pStyle w:val="Titlesubclause1"/>
        <w:shd w:val="clear" w:color="auto" w:fill="auto"/>
        <w:outlineLvl w:val="9"/>
        <w:rPr>
          <w:color w:val="000000"/>
        </w:rPr>
      </w:pPr>
      <w:r>
        <w:t>Counterparts</w:t>
      </w:r>
    </w:p>
    <w:p w:rsidR="004F662A" w:rsidP="008E30E0">
      <w:pPr>
        <w:pStyle w:val="Untitledsubclause2"/>
        <w:shd w:val="clear" w:color="auto" w:fill="auto"/>
        <w:outlineLvl w:val="9"/>
        <w:rPr>
          <w:color w:val="000000"/>
        </w:rPr>
      </w:pPr>
      <w:r>
        <w:t>This Agreement may be executed in any number of counterparts. Each counterpart is an original, and is evidence of the intention of each party who has executed that counterpart to be bound by its terms. All counterparts taken together constitute one instrument.</w:t>
      </w:r>
    </w:p>
    <w:p w:rsidR="004F662A" w:rsidP="008E30E0">
      <w:pPr>
        <w:pStyle w:val="Untitledsubclause2"/>
        <w:shd w:val="clear" w:color="auto" w:fill="auto"/>
        <w:outlineLvl w:val="9"/>
        <w:rPr>
          <w:color w:val="000000"/>
        </w:rPr>
      </w:pPr>
      <w:r>
        <w:t>The parties agree that:</w:t>
      </w:r>
    </w:p>
    <w:p w:rsidR="004F662A" w:rsidP="008E30E0">
      <w:pPr>
        <w:pStyle w:val="Untitledsubclause3"/>
        <w:shd w:val="clear" w:color="auto" w:fill="auto"/>
        <w:outlineLvl w:val="9"/>
        <w:rPr>
          <w:color w:val="000000"/>
        </w:rPr>
      </w:pPr>
      <w:r>
        <w:t>transmission by or on behalf of any party to the other parties of a complete executed counterpart of this Agreement (but, for the avoidance of doubt, an isolated signature page will not be sufficient for this purpose) by email (attached in PDF, JPEG or other agreed format) or other form of electronic file sharing and distribution that may be agreed between the parties as being appropriately reliable for the purpose of evidencing due execution, will constitute exchange of an executed counterpart of this Agreement;</w:t>
      </w:r>
    </w:p>
    <w:p w:rsidR="004F662A" w:rsidP="008E30E0">
      <w:pPr>
        <w:pStyle w:val="Untitledsubclause3"/>
        <w:shd w:val="clear" w:color="auto" w:fill="auto"/>
        <w:outlineLvl w:val="9"/>
        <w:rPr>
          <w:color w:val="000000"/>
        </w:rPr>
      </w:pPr>
      <w:r>
        <w:t>where one of the methods of exchange in clause 15.4(b)(i) is used, the transmitting party must provide the other parties with an original of the relevant executed counterpart as soon as reasonably possible thereafter (but any delay in providing any original counterpart does not prejudice the validity of the obligations formed on exchange under this clause 15.4(b)(ii); and</w:t>
      </w:r>
    </w:p>
    <w:p w:rsidR="004F662A" w:rsidP="008E30E0">
      <w:pPr>
        <w:pStyle w:val="Untitledsubclause3"/>
        <w:shd w:val="clear" w:color="auto" w:fill="auto"/>
        <w:outlineLvl w:val="9"/>
        <w:rPr>
          <w:color w:val="000000"/>
        </w:rPr>
      </w:pPr>
      <w:r>
        <w:t>a copy of an original executed counterpart transmitted by a method specified in clause 15.4(b)(i), instead of the original, is sufficient evidence of the execution of the original and may be produced in evidence for all purposes in place of the original.</w:t>
      </w:r>
    </w:p>
    <w:p w:rsidR="004F662A" w:rsidP="008E30E0">
      <w:pPr>
        <w:pStyle w:val="Titlesubclause1"/>
        <w:shd w:val="clear" w:color="auto" w:fill="auto"/>
        <w:outlineLvl w:val="9"/>
        <w:rPr>
          <w:color w:val="000000"/>
        </w:rPr>
      </w:pPr>
      <w:r>
        <w:t>Severability</w:t>
      </w:r>
    </w:p>
    <w:p w:rsidR="004F662A" w:rsidRPr="002109ED" w:rsidP="008E30E0">
      <w:pPr>
        <w:pStyle w:val="Untitledsubclause2"/>
        <w:shd w:val="clear" w:color="auto" w:fill="auto"/>
        <w:outlineLvl w:val="9"/>
        <w:rPr>
          <w:color w:val="000000"/>
        </w:rPr>
      </w:pPr>
      <w:r>
        <w:t>If the whole or any part of a provision of this Agreement is or becomes invalid or unenforceable under the law of any jurisdiction, it is severed in that jurisdiction to the extent that it is invalid or unenforceable and whether it is in severable terms or not.</w:t>
      </w:r>
    </w:p>
    <w:p w:rsidR="004F662A" w:rsidRPr="002109ED" w:rsidP="008E30E0">
      <w:pPr>
        <w:pStyle w:val="Untitledsubclause2"/>
        <w:shd w:val="clear" w:color="auto" w:fill="auto"/>
        <w:outlineLvl w:val="9"/>
        <w:rPr>
          <w:color w:val="000000"/>
        </w:rPr>
      </w:pPr>
      <w:r>
        <w:t>Clause 15.5(a) does not apply if the severance of a provision of this Agreement in accordance with that clause would materially affect or alter the nature or effect of the parties' obligations under this Agreement.</w:t>
      </w:r>
    </w:p>
    <w:p w:rsidR="004F662A" w:rsidP="008E30E0">
      <w:pPr>
        <w:pStyle w:val="Titlesubclause1"/>
        <w:shd w:val="clear" w:color="auto" w:fill="auto"/>
        <w:outlineLvl w:val="9"/>
        <w:rPr>
          <w:color w:val="000000"/>
        </w:rPr>
      </w:pPr>
      <w:r>
        <w:t>No merger</w:t>
      </w:r>
    </w:p>
    <w:p w:rsidR="004F662A" w:rsidRPr="002109ED" w:rsidP="008E30E0">
      <w:pPr>
        <w:pStyle w:val="Parasubclause1"/>
        <w:shd w:val="clear" w:color="auto" w:fill="auto"/>
        <w:outlineLvl w:val="9"/>
        <w:rPr>
          <w:color w:val="000000"/>
        </w:rPr>
      </w:pPr>
      <w:r>
        <w:t>On completion or termination of this Agreement, the rights and obligations of the parties set out in this Agreement will not merge and any provision that has not been fulfilled remains in force.</w:t>
      </w:r>
    </w:p>
    <w:p w:rsidR="004F662A" w:rsidP="008E30E0">
      <w:pPr>
        <w:pStyle w:val="Titlesubclause1"/>
        <w:shd w:val="clear" w:color="auto" w:fill="auto"/>
        <w:outlineLvl w:val="9"/>
        <w:rPr>
          <w:color w:val="000000"/>
        </w:rPr>
      </w:pPr>
      <w:r>
        <w:t>Further action</w:t>
      </w:r>
    </w:p>
    <w:p w:rsidR="004F662A" w:rsidRPr="002109ED" w:rsidP="008E30E0">
      <w:pPr>
        <w:pStyle w:val="Parasubclause1"/>
        <w:shd w:val="clear" w:color="auto" w:fill="auto"/>
        <w:outlineLvl w:val="9"/>
        <w:rPr>
          <w:color w:val="000000"/>
        </w:rPr>
      </w:pPr>
      <w:r>
        <w:t>Each party must at its own expense do all things (including completing and signing all documents) reasonably requested by the other party that are necessary to:</w:t>
      </w:r>
    </w:p>
    <w:p w:rsidR="004F662A" w:rsidRPr="002109ED" w:rsidP="008E30E0">
      <w:pPr>
        <w:pStyle w:val="Untitledsubclause2"/>
        <w:shd w:val="clear" w:color="auto" w:fill="auto"/>
        <w:outlineLvl w:val="9"/>
        <w:rPr>
          <w:color w:val="000000"/>
        </w:rPr>
      </w:pPr>
      <w:r>
        <w:t>bind the party and any other person intended to be bound by this Agreement;</w:t>
      </w:r>
    </w:p>
    <w:p w:rsidR="004F662A" w:rsidRPr="002109ED" w:rsidP="008E30E0">
      <w:pPr>
        <w:pStyle w:val="Untitledsubclause2"/>
        <w:shd w:val="clear" w:color="auto" w:fill="auto"/>
        <w:outlineLvl w:val="9"/>
        <w:rPr>
          <w:color w:val="000000"/>
        </w:rPr>
      </w:pPr>
      <w:r>
        <w:t>show that it is complying with this Agreement; and</w:t>
      </w:r>
    </w:p>
    <w:p w:rsidR="004F662A" w:rsidRPr="002109ED" w:rsidP="008E30E0">
      <w:pPr>
        <w:pStyle w:val="Untitledsubclause2"/>
        <w:shd w:val="clear" w:color="auto" w:fill="auto"/>
        <w:outlineLvl w:val="9"/>
        <w:rPr>
          <w:color w:val="000000"/>
        </w:rPr>
      </w:pPr>
      <w:r>
        <w:t>give full effect to this Agreement and the transactions contemplated by this Agreement,</w:t>
      </w:r>
    </w:p>
    <w:p w:rsidR="004F662A" w:rsidRPr="002109ED" w:rsidP="008E30E0">
      <w:pPr>
        <w:pStyle w:val="Parasubclause1"/>
        <w:shd w:val="clear" w:color="auto" w:fill="auto"/>
        <w:outlineLvl w:val="9"/>
        <w:rPr>
          <w:color w:val="000000"/>
        </w:rPr>
      </w:pPr>
      <w:r>
        <w:t>and use all reasonable endeavours to procure that any third parties do the same.</w:t>
      </w:r>
    </w:p>
    <w:p w:rsidR="004F662A" w:rsidP="008E30E0">
      <w:pPr>
        <w:pStyle w:val="Titlesubclause1"/>
        <w:shd w:val="clear" w:color="auto" w:fill="auto"/>
        <w:outlineLvl w:val="9"/>
        <w:rPr>
          <w:color w:val="000000"/>
        </w:rPr>
      </w:pPr>
      <w:r>
        <w:t>Time of the essence</w:t>
      </w:r>
    </w:p>
    <w:p w:rsidR="004F662A" w:rsidRPr="002109ED" w:rsidP="008E30E0">
      <w:pPr>
        <w:pStyle w:val="Parasubclause1"/>
        <w:shd w:val="clear" w:color="auto" w:fill="auto"/>
        <w:outlineLvl w:val="9"/>
        <w:rPr>
          <w:color w:val="000000"/>
        </w:rPr>
      </w:pPr>
      <w:r>
        <w:t>Time is of the essence in this Agreement in respect of any date or time period and any obligation to pay money.</w:t>
      </w:r>
    </w:p>
    <w:p w:rsidR="004F662A" w:rsidP="008E30E0">
      <w:pPr>
        <w:pStyle w:val="Titlesubclause1"/>
        <w:shd w:val="clear" w:color="auto" w:fill="auto"/>
        <w:outlineLvl w:val="9"/>
        <w:rPr>
          <w:color w:val="000000"/>
        </w:rPr>
      </w:pPr>
      <w:r>
        <w:t>Force majeure</w:t>
      </w:r>
    </w:p>
    <w:p w:rsidR="004F662A" w:rsidP="008E30E0">
      <w:pPr>
        <w:pStyle w:val="Untitledsubclause2"/>
        <w:shd w:val="clear" w:color="auto" w:fill="auto"/>
        <w:outlineLvl w:val="9"/>
        <w:rPr>
          <w:color w:val="000000"/>
        </w:rPr>
      </w:pPr>
      <w:r>
        <w:t>Neither party will be in breach of this Agreement nor liable for delay in performing, or failure to perform, any of its obligations under this Agreement if such delay or failure result from events, circumstances or causes beyond its reasonable control (Force Majeure Event). In such circumstances, the time for performance must be extended by a period equivalent to the period during which performance of the obligation has been delayed or failed to be performed. If the period of delay or non-performance continues for 30 weeks, the party not affected by the Force Majeure Event may terminate this Agreement by giving 30 days' Notice to the affected party.</w:t>
      </w:r>
    </w:p>
    <w:p w:rsidR="004F662A" w:rsidP="008E30E0">
      <w:pPr>
        <w:pStyle w:val="Untitledsubclause2"/>
        <w:shd w:val="clear" w:color="auto" w:fill="auto"/>
        <w:outlineLvl w:val="9"/>
        <w:rPr>
          <w:color w:val="000000"/>
        </w:rPr>
      </w:pPr>
      <w:r>
        <w:t>The performance of the affected obligations must be resumed as soon as practicable after such Force Majeure Event is removed or has ceased.</w:t>
      </w:r>
    </w:p>
    <w:p w:rsidR="004F662A" w:rsidP="008E30E0">
      <w:pPr>
        <w:pStyle w:val="Titlesubclause1"/>
        <w:shd w:val="clear" w:color="auto" w:fill="auto"/>
        <w:outlineLvl w:val="9"/>
        <w:rPr>
          <w:color w:val="000000"/>
        </w:rPr>
      </w:pPr>
      <w:r>
        <w:t>Relationship of the parties</w:t>
      </w:r>
    </w:p>
    <w:p w:rsidR="004F662A" w:rsidRPr="002109ED" w:rsidP="008E30E0">
      <w:pPr>
        <w:pStyle w:val="Untitledsubclause2"/>
        <w:shd w:val="clear" w:color="auto" w:fill="auto"/>
        <w:outlineLvl w:val="9"/>
        <w:rPr>
          <w:color w:val="000000"/>
        </w:rPr>
      </w:pPr>
      <w:r>
        <w:t>Nothing in this Agreement gives a party authority to bind any other party in any way.</w:t>
      </w:r>
    </w:p>
    <w:p w:rsidR="004F662A" w:rsidRPr="002109ED" w:rsidP="008E30E0">
      <w:pPr>
        <w:pStyle w:val="Untitledsubclause2"/>
        <w:shd w:val="clear" w:color="auto" w:fill="auto"/>
        <w:outlineLvl w:val="9"/>
        <w:rPr>
          <w:color w:val="000000"/>
        </w:rPr>
      </w:pPr>
      <w:r>
        <w:t>Nothing in this Agreement imposes any fiduciary duties on a party in relation to any other party.</w:t>
      </w:r>
    </w:p>
    <w:p w:rsidR="004F662A" w:rsidP="008E30E0">
      <w:pPr>
        <w:pStyle w:val="Titlesubclause1"/>
        <w:shd w:val="clear" w:color="auto" w:fill="auto"/>
        <w:outlineLvl w:val="9"/>
        <w:rPr>
          <w:color w:val="000000"/>
        </w:rPr>
      </w:pPr>
      <w:r>
        <w:t>Exercise of rights</w:t>
      </w:r>
    </w:p>
    <w:p w:rsidR="004F662A" w:rsidRPr="002109ED" w:rsidP="008E30E0">
      <w:pPr>
        <w:pStyle w:val="Untitledsubclause2"/>
        <w:shd w:val="clear" w:color="auto" w:fill="auto"/>
        <w:outlineLvl w:val="9"/>
        <w:rPr>
          <w:color w:val="000000"/>
        </w:rPr>
      </w:pPr>
      <w:r>
        <w:t>No party is required to act reasonably in exercising any right, power, authority, discretion or remedy under or in connection with this Agreement, including the granting or withholding of any approval or consent, unless expressly required to do so by the terms of this Agreement.</w:t>
      </w:r>
    </w:p>
    <w:p w:rsidR="004F662A" w:rsidRPr="002109ED" w:rsidP="008E30E0">
      <w:pPr>
        <w:pStyle w:val="Untitledsubclause2"/>
        <w:shd w:val="clear" w:color="auto" w:fill="auto"/>
        <w:outlineLvl w:val="9"/>
        <w:rPr>
          <w:color w:val="000000"/>
        </w:rPr>
      </w:pPr>
      <w:r>
        <w:t>Any party may (without being required to act reasonably) make any consent or approval required to be given by it under or in connection with this Agreement, or a waiver of any of its rights, powers, authority, discretion or remedies arising under or in connection with this Agreement, subject to conditions that must be complied with by the party seeking to rely on the consent, approval or waiver.</w:t>
      </w:r>
    </w:p>
    <w:p w:rsidR="004F662A" w:rsidP="008E30E0">
      <w:pPr>
        <w:pStyle w:val="Titlesubclause1"/>
        <w:shd w:val="clear" w:color="auto" w:fill="auto"/>
        <w:outlineLvl w:val="9"/>
        <w:rPr>
          <w:color w:val="000000"/>
        </w:rPr>
      </w:pPr>
      <w:r>
        <w:t>Remedies cumulative</w:t>
      </w:r>
    </w:p>
    <w:p w:rsidR="004F662A" w:rsidRPr="002109ED" w:rsidP="008E30E0">
      <w:pPr>
        <w:pStyle w:val="Parasubclause1"/>
        <w:shd w:val="clear" w:color="auto" w:fill="auto"/>
        <w:outlineLvl w:val="9"/>
        <w:rPr>
          <w:color w:val="000000"/>
        </w:rPr>
      </w:pPr>
      <w:r>
        <w:t>Except as provided in this Agreement and permitted by law, the rights, powers and remedies provided in this Agreement are cumulative with and not exclusive of the rights, powers or remedies provided by law independently of this Agreement.</w:t>
      </w:r>
    </w:p>
    <w:p w:rsidR="004F662A" w:rsidP="008E30E0">
      <w:pPr>
        <w:pStyle w:val="Titlesubclause1"/>
        <w:shd w:val="clear" w:color="auto" w:fill="auto"/>
        <w:outlineLvl w:val="9"/>
        <w:rPr>
          <w:color w:val="000000"/>
        </w:rPr>
      </w:pPr>
      <w:r>
        <w:t>Entire agreement</w:t>
      </w:r>
    </w:p>
    <w:p w:rsidR="004F662A" w:rsidRPr="002109ED" w:rsidP="008E30E0">
      <w:pPr>
        <w:pStyle w:val="Parasubclause1"/>
        <w:shd w:val="clear" w:color="auto" w:fill="auto"/>
        <w:outlineLvl w:val="9"/>
        <w:rPr>
          <w:color w:val="000000"/>
        </w:rPr>
      </w:pPr>
      <w:r>
        <w:t>This Agreement states all the express terms agreed by the parties about its subject matter. It supersedes all prior agreements, understandings, negotiations and discussions in respect of its subject matter.</w:t>
      </w:r>
    </w:p>
    <w:p w:rsidR="004F662A" w:rsidP="008E30E0">
      <w:pPr>
        <w:pStyle w:val="Titlesubclause1"/>
        <w:shd w:val="clear" w:color="auto" w:fill="auto"/>
        <w:outlineLvl w:val="9"/>
        <w:rPr>
          <w:color w:val="000000"/>
        </w:rPr>
      </w:pPr>
      <w:r>
        <w:t>No reliance</w:t>
      </w:r>
    </w:p>
    <w:p w:rsidR="004F662A" w:rsidRPr="002109ED" w:rsidP="008E30E0">
      <w:pPr>
        <w:pStyle w:val="Parasubclause1"/>
        <w:shd w:val="clear" w:color="auto" w:fill="auto"/>
        <w:outlineLvl w:val="9"/>
        <w:rPr>
          <w:color w:val="000000"/>
        </w:rPr>
      </w:pPr>
      <w:r>
        <w:t>No party has relied on any statement, representation, assurance or warranty made or given by any other party, except as expressly set out in this Agreement.</w:t>
      </w:r>
    </w:p>
    <w:p w:rsidR="004F662A" w:rsidP="008E30E0">
      <w:pPr>
        <w:pStyle w:val="Titlesubclause1"/>
        <w:shd w:val="clear" w:color="auto" w:fill="auto"/>
        <w:outlineLvl w:val="9"/>
        <w:rPr>
          <w:color w:val="000000"/>
        </w:rPr>
      </w:pPr>
      <w:r>
        <w:t>Default interest</w:t>
      </w:r>
    </w:p>
    <w:p w:rsidR="004F662A" w:rsidP="008E30E0">
      <w:pPr>
        <w:pStyle w:val="Untitledsubclause2"/>
        <w:shd w:val="clear" w:color="auto" w:fill="auto"/>
        <w:outlineLvl w:val="9"/>
        <w:rPr>
          <w:color w:val="000000"/>
        </w:rPr>
      </w:pPr>
      <w:r>
        <w:t>If any sum due for payment under this Agreement is not paid on the due date, the Customer must pay interest on the amount unpaid at the Interest Rate plus 2%.</w:t>
      </w:r>
    </w:p>
    <w:p w:rsidR="004F662A" w:rsidP="008E30E0">
      <w:pPr>
        <w:pStyle w:val="Untitledsubclause2"/>
        <w:shd w:val="clear" w:color="auto" w:fill="auto"/>
        <w:outlineLvl w:val="9"/>
        <w:rPr>
          <w:color w:val="000000"/>
        </w:rPr>
      </w:pPr>
      <w:r>
        <w:t>Interest payable under clause 15.15(a) accrues on a day-to-day basis from the due date up to and including the date of actual payment.</w:t>
      </w:r>
    </w:p>
    <w:p w:rsidR="004F662A" w:rsidRPr="002109ED" w:rsidP="008E30E0">
      <w:pPr>
        <w:pStyle w:val="Untitledsubclause2"/>
        <w:shd w:val="clear" w:color="auto" w:fill="auto"/>
        <w:outlineLvl w:val="9"/>
        <w:rPr>
          <w:color w:val="000000"/>
        </w:rPr>
      </w:pPr>
      <w:r>
        <w:t>Interest payable under clause 15.15(a) may be capitalised by the Supplier on a monthly basis OR OTHER CAPITALISATION METHOD.</w:t>
      </w:r>
    </w:p>
    <w:p w:rsidR="004F662A" w:rsidP="008E30E0">
      <w:pPr>
        <w:pStyle w:val="Titlesubclause1"/>
        <w:shd w:val="clear" w:color="auto" w:fill="auto"/>
        <w:outlineLvl w:val="9"/>
        <w:rPr>
          <w:color w:val="000000"/>
        </w:rPr>
      </w:pPr>
      <w:r>
        <w:t>Governing law and jurisdiction</w:t>
      </w:r>
    </w:p>
    <w:p w:rsidR="004F662A" w:rsidRPr="002109ED" w:rsidP="008E30E0">
      <w:pPr>
        <w:pStyle w:val="Untitledsubclause2"/>
        <w:shd w:val="clear" w:color="auto" w:fill="auto"/>
        <w:outlineLvl w:val="9"/>
        <w:rPr>
          <w:color w:val="000000"/>
        </w:rPr>
      </w:pPr>
      <w:r>
        <w:t>This Agreement is governed by the law in force in New South Wales, Australia.</w:t>
      </w:r>
    </w:p>
    <w:p w:rsidR="004F662A" w:rsidP="008E30E0">
      <w:pPr>
        <w:pStyle w:val="Untitledsubclause2"/>
        <w:shd w:val="clear" w:color="auto" w:fill="auto"/>
        <w:outlineLvl w:val="9"/>
        <w:rPr>
          <w:color w:val="000000"/>
        </w:rPr>
      </w:pPr>
      <w:r>
        <w:t>Each party irrevocably:</w:t>
      </w:r>
    </w:p>
    <w:p w:rsidR="004F662A" w:rsidP="008E30E0">
      <w:pPr>
        <w:pStyle w:val="Untitledsubclause3"/>
        <w:shd w:val="clear" w:color="auto" w:fill="auto"/>
        <w:outlineLvl w:val="9"/>
        <w:rPr>
          <w:color w:val="000000"/>
        </w:rPr>
      </w:pPr>
      <w:r>
        <w:t>submits to the exclusive jurisdiction of courts exercising jurisdiction in New South Wales, Australia and courts of appeal from them in respect of any proceedings arising out of or in connection with this Agreement; and</w:t>
      </w:r>
    </w:p>
    <w:p w:rsidR="004F662A" w:rsidRPr="002109ED" w:rsidP="008E30E0">
      <w:pPr>
        <w:pStyle w:val="Untitledsubclause3"/>
        <w:shd w:val="clear" w:color="auto" w:fill="auto"/>
        <w:outlineLvl w:val="9"/>
        <w:rPr>
          <w:color w:val="000000"/>
        </w:rPr>
      </w:pPr>
      <w:r>
        <w:t>waives any right it has to object to the venue of any legal process in those courts on the basis that the process has been brought in an inconvenient forum or that those courts do not have jurisdiction.</w:t>
      </w:r>
    </w:p>
    <w:p w:rsidR="004F662A" w:rsidP="008E30E0">
      <w:pPr>
        <w:pStyle w:val="Schedule"/>
        <w:pageBreakBefore/>
        <w:numPr>
          <w:numId w:val="52"/>
        </w:numPr>
        <w:shd w:val="clear" w:color="auto" w:fill="auto"/>
        <w:outlineLvl w:val="9"/>
        <w:rPr>
          <w:color w:val="000000"/>
        </w:rPr>
      </w:pPr>
      <w:r>
        <w:t>Agreement details</w:t>
      </w:r>
    </w:p>
    <w:p w:rsidR="004F662A" w:rsidP="008E30E0">
      <w:pPr>
        <w:pStyle w:val="Part"/>
        <w:numPr>
          <w:numId w:val="56"/>
        </w:numPr>
        <w:shd w:val="clear" w:color="auto" w:fill="auto"/>
        <w:outlineLvl w:val="9"/>
        <w:rPr>
          <w:color w:val="000000"/>
        </w:rPr>
      </w:pPr>
      <w:r>
        <w:t>Commencement Date</w:t>
      </w:r>
    </w:p>
    <w:p w:rsidR="004F662A" w:rsidRPr="001A2033" w:rsidP="008E30E0">
      <w:pPr>
        <w:pStyle w:val="Paragraph"/>
        <w:shd w:val="clear" w:color="auto" w:fill="auto"/>
        <w:outlineLvl w:val="9"/>
        <w:rPr>
          <w:color w:val="000000"/>
        </w:rPr>
      </w:pPr>
      <w:r>
        <w:t>26 June 2026</w:t>
      </w:r>
    </w:p>
    <w:p w:rsidR="004F662A" w:rsidP="008E30E0">
      <w:pPr>
        <w:pStyle w:val="Part"/>
        <w:numPr>
          <w:numId w:val="56"/>
        </w:numPr>
        <w:shd w:val="clear" w:color="auto" w:fill="auto"/>
        <w:outlineLvl w:val="9"/>
        <w:rPr>
          <w:color w:val="000000"/>
        </w:rPr>
      </w:pPr>
      <w:r>
        <w:t>Fees</w:t>
      </w:r>
    </w:p>
    <w:p w:rsidR="004F662A" w:rsidRPr="001A2033" w:rsidP="008E30E0">
      <w:pPr>
        <w:pStyle w:val="Paragraph"/>
        <w:shd w:val="clear" w:color="auto" w:fill="auto"/>
        <w:outlineLvl w:val="9"/>
        <w:rPr>
          <w:color w:val="000000"/>
        </w:rPr>
      </w:pPr>
      <w:r>
        <w:t>Fees are as specified in the applicable order form, subscription record or invoice. Unless otherwise agreed in writing, Fees are invoiced in advance for the relevant subscription period and are payable within 14 days of invoice.</w:t>
      </w:r>
    </w:p>
    <w:p w:rsidR="004F662A" w:rsidP="008E30E0">
      <w:pPr>
        <w:pStyle w:val="Part"/>
        <w:numPr>
          <w:numId w:val="56"/>
        </w:numPr>
        <w:shd w:val="clear" w:color="auto" w:fill="auto"/>
        <w:outlineLvl w:val="9"/>
        <w:rPr>
          <w:color w:val="000000"/>
        </w:rPr>
      </w:pPr>
      <w:r>
        <w:t>Number of Authorised Users</w:t>
      </w:r>
    </w:p>
    <w:p w:rsidR="004F662A" w:rsidRPr="001A2033" w:rsidP="008E30E0">
      <w:pPr>
        <w:pStyle w:val="Paragraph"/>
        <w:shd w:val="clear" w:color="auto" w:fill="auto"/>
        <w:outlineLvl w:val="9"/>
        <w:rPr>
          <w:color w:val="000000"/>
        </w:rPr>
      </w:pPr>
      <w:r>
        <w:t>Maximum number of Authorised Users: as specified in the applicable order form or subscription record.</w:t>
      </w:r>
    </w:p>
    <w:p w:rsidR="004F662A" w:rsidP="008E30E0">
      <w:pPr>
        <w:pStyle w:val="Part"/>
        <w:numPr>
          <w:numId w:val="56"/>
        </w:numPr>
        <w:shd w:val="clear" w:color="auto" w:fill="auto"/>
        <w:outlineLvl w:val="9"/>
        <w:rPr>
          <w:color w:val="000000"/>
        </w:rPr>
      </w:pPr>
      <w:r>
        <w:t>Services</w:t>
      </w:r>
    </w:p>
    <w:p w:rsidR="004F662A" w:rsidRPr="001A2033" w:rsidP="008E30E0">
      <w:pPr>
        <w:pStyle w:val="Paragraph"/>
        <w:shd w:val="clear" w:color="auto" w:fill="auto"/>
        <w:outlineLvl w:val="9"/>
        <w:rPr>
          <w:color w:val="000000"/>
        </w:rPr>
      </w:pPr>
      <w:r>
        <w:t>Episap, a case-first multidisciplinary team (MDT) software-as-a-service application for preparing, scheduling, running and documenting MDT meetings, managing patient-case records, consent requests, invitations, meeting notes, recommendations, follow-up summaries and related audit records.</w:t>
      </w:r>
    </w:p>
    <w:p w:rsidR="004F662A" w:rsidP="008E30E0">
      <w:pPr>
        <w:pStyle w:val="Part"/>
        <w:numPr>
          <w:numId w:val="56"/>
        </w:numPr>
        <w:shd w:val="clear" w:color="auto" w:fill="auto"/>
        <w:outlineLvl w:val="9"/>
        <w:rPr>
          <w:color w:val="000000"/>
        </w:rPr>
      </w:pPr>
      <w:r>
        <w:t>Third-Party Products</w:t>
      </w:r>
    </w:p>
    <w:p w:rsidR="004F662A" w:rsidRPr="001A2033" w:rsidP="008E30E0">
      <w:pPr>
        <w:pStyle w:val="Paragraph"/>
        <w:shd w:val="clear" w:color="auto" w:fill="auto"/>
        <w:outlineLvl w:val="9"/>
        <w:rPr>
          <w:color w:val="000000"/>
        </w:rPr>
      </w:pPr>
      <w:r>
        <w:t>Third-party products may include Supabase for authentication, database and storage infrastructure; LiveKit for optional real-time video; Resend for email delivery; Twilio for SMS delivery; hosting, analytics, monitoring and security providers; and any other provider identified in the Documentation or applicable order form.</w:t>
      </w:r>
    </w:p>
    <w:p w:rsidR="004F662A" w:rsidP="008E30E0">
      <w:pPr>
        <w:pStyle w:val="Schedule"/>
        <w:pageBreakBefore/>
        <w:numPr>
          <w:numId w:val="52"/>
        </w:numPr>
        <w:shd w:val="clear" w:color="auto" w:fill="auto"/>
        <w:outlineLvl w:val="9"/>
        <w:rPr>
          <w:color w:val="000000"/>
        </w:rPr>
      </w:pPr>
      <w:r>
        <w:t>Policies</w:t>
      </w:r>
    </w:p>
    <w:p w:rsidR="004F662A" w:rsidP="008E30E0">
      <w:pPr>
        <w:pStyle w:val="Part"/>
        <w:numPr>
          <w:numId w:val="57"/>
        </w:numPr>
        <w:shd w:val="clear" w:color="auto" w:fill="auto"/>
        <w:outlineLvl w:val="9"/>
        <w:rPr>
          <w:color w:val="000000"/>
        </w:rPr>
      </w:pPr>
      <w:r>
        <w:t>Privacy Policy</w:t>
      </w:r>
    </w:p>
    <w:p w:rsidR="004F662A" w:rsidRPr="001A2033" w:rsidP="008E30E0">
      <w:pPr>
        <w:pStyle w:val="Paragraph"/>
        <w:shd w:val="clear" w:color="auto" w:fill="auto"/>
        <w:outlineLvl w:val="9"/>
        <w:rPr>
          <w:color w:val="000000"/>
        </w:rPr>
      </w:pPr>
      <w:r>
        <w:t>The current Episap Privacy Policy is available at https://episapient.com/privacy.</w:t>
      </w:r>
    </w:p>
    <w:p w:rsidR="004F662A" w:rsidP="008E30E0">
      <w:pPr>
        <w:pStyle w:val="Part"/>
        <w:numPr>
          <w:numId w:val="57"/>
        </w:numPr>
        <w:shd w:val="clear" w:color="auto" w:fill="auto"/>
        <w:outlineLvl w:val="9"/>
        <w:rPr>
          <w:color w:val="000000"/>
        </w:rPr>
      </w:pPr>
      <w:r>
        <w:t>Security Measures</w:t>
      </w:r>
    </w:p>
    <w:p w:rsidR="004F662A" w:rsidP="008E30E0">
      <w:pPr>
        <w:pStyle w:val="Paragraph"/>
        <w:shd w:val="clear" w:color="auto" w:fill="auto"/>
        <w:outlineLvl w:val="9"/>
        <w:rPr>
          <w:color w:val="000000"/>
        </w:rPr>
      </w:pPr>
      <w:r>
        <w:t>Security measures include authenticated access, role-aware access controls, client-side encryption for patient identifying information where implemented, separation of identity data from clinical case content where practical, de-identification controls, tamper-evident audit records, backups, incident response procedures and secure configuration of hosting and communication providers.</w:t>
      </w:r>
    </w:p>
    <w:p w:rsidR="004F662A" w:rsidP="008E30E0">
      <w:pPr>
        <w:pStyle w:val="Schedule"/>
        <w:pageBreakBefore/>
        <w:numPr>
          <w:numId w:val="52"/>
        </w:numPr>
        <w:shd w:val="clear" w:color="auto" w:fill="auto"/>
        <w:outlineLvl w:val="9"/>
        <w:rPr>
          <w:color w:val="000000"/>
        </w:rPr>
      </w:pPr>
      <w:r>
        <w:t>Service Levels</w:t>
      </w:r>
    </w:p>
    <w:p w:rsidR="004F662A" w:rsidP="008E30E0">
      <w:pPr>
        <w:pStyle w:val="ScheduleTitleClause"/>
        <w:numPr>
          <w:numId w:val="61"/>
        </w:numPr>
        <w:shd w:val="clear" w:color="auto" w:fill="auto"/>
        <w:outlineLvl w:val="9"/>
        <w:rPr>
          <w:color w:val="000000"/>
        </w:rPr>
      </w:pPr>
      <w:r>
        <w:t>Definitions</w:t>
      </w:r>
    </w:p>
    <w:p w:rsidR="004F662A" w:rsidP="008E30E0">
      <w:pPr>
        <w:pStyle w:val="ScheduleUntitledsubclause1"/>
        <w:numPr>
          <w:numId w:val="61"/>
        </w:numPr>
        <w:shd w:val="clear" w:color="auto" w:fill="auto"/>
        <w:outlineLvl w:val="9"/>
        <w:rPr>
          <w:color w:val="000000"/>
        </w:rPr>
      </w:pPr>
      <w:r>
        <w:t>In this Schedule 3, the following definitions are used:</w:t>
      </w:r>
    </w:p>
    <w:p w:rsidR="004F662A" w:rsidP="008E30E0">
      <w:pPr>
        <w:pStyle w:val="ScheduleUntitledsubclause2"/>
        <w:numPr>
          <w:numId w:val="61"/>
        </w:numPr>
        <w:shd w:val="clear" w:color="auto" w:fill="auto"/>
        <w:outlineLvl w:val="9"/>
        <w:rPr>
          <w:color w:val="000000"/>
        </w:rPr>
      </w:pPr>
      <w:r>
        <w:t>Available: the Services are available for access and use by the Customer and Authorised Users over the internet or private network and operating in substantial conformity with the applicable Documentation.</w:t>
      </w:r>
    </w:p>
    <w:p w:rsidR="004F662A" w:rsidP="008E30E0">
      <w:pPr>
        <w:pStyle w:val="ScheduleUntitledsubclause2"/>
        <w:numPr>
          <w:numId w:val="61"/>
        </w:numPr>
        <w:shd w:val="clear" w:color="auto" w:fill="auto"/>
        <w:outlineLvl w:val="9"/>
        <w:rPr>
          <w:color w:val="000000"/>
        </w:rPr>
      </w:pPr>
      <w:r>
        <w:t>Availability Requirement: the definition given in paragraph 2.</w:t>
      </w:r>
    </w:p>
    <w:p w:rsidR="004F662A" w:rsidP="008E30E0">
      <w:pPr>
        <w:pStyle w:val="ScheduleUntitledsubclause2"/>
        <w:numPr>
          <w:numId w:val="61"/>
        </w:numPr>
        <w:shd w:val="clear" w:color="auto" w:fill="auto"/>
        <w:outlineLvl w:val="9"/>
        <w:rPr>
          <w:color w:val="000000"/>
        </w:rPr>
      </w:pPr>
      <w:r>
        <w:t>Exception:</w:t>
      </w:r>
    </w:p>
    <w:p w:rsidR="004F662A" w:rsidP="008E30E0">
      <w:pPr>
        <w:pStyle w:val="ScheduleUntitledsubclause3"/>
        <w:numPr>
          <w:numId w:val="61"/>
        </w:numPr>
        <w:shd w:val="clear" w:color="auto" w:fill="auto"/>
        <w:outlineLvl w:val="9"/>
        <w:rPr>
          <w:color w:val="000000"/>
        </w:rPr>
      </w:pPr>
      <w:r>
        <w:t>act or omission by the Customer or any Authorised User;</w:t>
      </w:r>
    </w:p>
    <w:p w:rsidR="004F662A" w:rsidP="008E30E0">
      <w:pPr>
        <w:pStyle w:val="ScheduleUntitledsubclause3"/>
        <w:numPr>
          <w:numId w:val="61"/>
        </w:numPr>
        <w:shd w:val="clear" w:color="auto" w:fill="auto"/>
        <w:outlineLvl w:val="9"/>
        <w:rPr>
          <w:color w:val="000000"/>
        </w:rPr>
      </w:pPr>
      <w:r>
        <w:t>access to or use of the Services by the Customer or any Authorised User that does not strictly comply with this Agreement;</w:t>
      </w:r>
    </w:p>
    <w:p w:rsidR="004F662A" w:rsidP="008E30E0">
      <w:pPr>
        <w:pStyle w:val="ScheduleUntitledsubclause3"/>
        <w:numPr>
          <w:numId w:val="61"/>
        </w:numPr>
        <w:shd w:val="clear" w:color="auto" w:fill="auto"/>
        <w:outlineLvl w:val="9"/>
        <w:rPr>
          <w:color w:val="000000"/>
        </w:rPr>
      </w:pPr>
      <w:r>
        <w:t>the Customer's or its Authorised User's internet or private network connectivity;</w:t>
      </w:r>
    </w:p>
    <w:p w:rsidR="004F662A" w:rsidP="008E30E0">
      <w:pPr>
        <w:pStyle w:val="ScheduleUntitledsubclause3"/>
        <w:numPr>
          <w:numId w:val="61"/>
        </w:numPr>
        <w:shd w:val="clear" w:color="auto" w:fill="auto"/>
        <w:outlineLvl w:val="9"/>
        <w:rPr>
          <w:color w:val="000000"/>
        </w:rPr>
      </w:pPr>
      <w:r>
        <w:t>Force Majeure Event;</w:t>
      </w:r>
    </w:p>
    <w:p w:rsidR="004F662A" w:rsidP="008E30E0">
      <w:pPr>
        <w:pStyle w:val="ScheduleUntitledsubclause3"/>
        <w:numPr>
          <w:numId w:val="61"/>
        </w:numPr>
        <w:shd w:val="clear" w:color="auto" w:fill="auto"/>
        <w:outlineLvl w:val="9"/>
        <w:rPr>
          <w:color w:val="000000"/>
        </w:rPr>
      </w:pPr>
      <w:r>
        <w:t>failure, interruption, outage or other problem with any software, hardware, system, network, facility or other matter not supplied by the Supplier under this Agreement;</w:t>
      </w:r>
    </w:p>
    <w:p w:rsidR="004F662A" w:rsidP="008E30E0">
      <w:pPr>
        <w:pStyle w:val="ScheduleUntitledsubclause3"/>
        <w:numPr>
          <w:numId w:val="61"/>
        </w:numPr>
        <w:shd w:val="clear" w:color="auto" w:fill="auto"/>
        <w:outlineLvl w:val="9"/>
        <w:rPr>
          <w:color w:val="000000"/>
        </w:rPr>
      </w:pPr>
      <w:r>
        <w:t>Scheduled Downtime; or</w:t>
      </w:r>
    </w:p>
    <w:p w:rsidR="004F662A" w:rsidP="008E30E0">
      <w:pPr>
        <w:pStyle w:val="ScheduleUntitledsubclause3"/>
        <w:numPr>
          <w:numId w:val="61"/>
        </w:numPr>
        <w:shd w:val="clear" w:color="auto" w:fill="auto"/>
        <w:outlineLvl w:val="9"/>
        <w:rPr>
          <w:color w:val="000000"/>
        </w:rPr>
      </w:pPr>
      <w:r>
        <w:t>suspension of the Services pursuant to clause 2.6.</w:t>
      </w:r>
    </w:p>
    <w:p w:rsidR="004F662A" w:rsidP="008E30E0">
      <w:pPr>
        <w:pStyle w:val="ScheduleUntitledsubclause2"/>
        <w:numPr>
          <w:numId w:val="61"/>
        </w:numPr>
        <w:shd w:val="clear" w:color="auto" w:fill="auto"/>
        <w:outlineLvl w:val="9"/>
        <w:rPr>
          <w:color w:val="000000"/>
        </w:rPr>
      </w:pPr>
      <w:r>
        <w:t>Scheduled Downtime: the definition given in paragraph 5.</w:t>
      </w:r>
    </w:p>
    <w:p w:rsidR="004F662A" w:rsidP="008E30E0">
      <w:pPr>
        <w:pStyle w:val="ScheduleUntitledsubclause2"/>
        <w:numPr>
          <w:numId w:val="61"/>
        </w:numPr>
        <w:shd w:val="clear" w:color="auto" w:fill="auto"/>
        <w:outlineLvl w:val="9"/>
        <w:rPr>
          <w:color w:val="000000"/>
        </w:rPr>
      </w:pPr>
      <w:r>
        <w:t>Service Credit: the definition given in paragraph 3.1.</w:t>
      </w:r>
    </w:p>
    <w:p w:rsidR="004F662A" w:rsidP="008E30E0">
      <w:pPr>
        <w:pStyle w:val="ScheduleUntitledsubclause2"/>
        <w:numPr>
          <w:numId w:val="61"/>
        </w:numPr>
        <w:shd w:val="clear" w:color="auto" w:fill="auto"/>
        <w:outlineLvl w:val="9"/>
        <w:rPr>
          <w:color w:val="000000"/>
        </w:rPr>
      </w:pPr>
      <w:r>
        <w:t>Service Level Failure: a material failure of the Services to meet the Availability Requirement.</w:t>
      </w:r>
    </w:p>
    <w:p w:rsidR="004F662A" w:rsidP="008E30E0">
      <w:pPr>
        <w:pStyle w:val="ScheduleUntitledsubclause2"/>
        <w:numPr>
          <w:numId w:val="61"/>
        </w:numPr>
        <w:shd w:val="clear" w:color="auto" w:fill="auto"/>
        <w:outlineLvl w:val="9"/>
        <w:rPr>
          <w:color w:val="000000"/>
        </w:rPr>
      </w:pPr>
      <w:r>
        <w:t>Service Period: each calendar month during the Term.</w:t>
      </w:r>
    </w:p>
    <w:p w:rsidR="004F662A" w:rsidP="008E30E0">
      <w:pPr>
        <w:pStyle w:val="ScheduleTitleClause"/>
        <w:numPr>
          <w:numId w:val="61"/>
        </w:numPr>
        <w:shd w:val="clear" w:color="auto" w:fill="auto"/>
        <w:outlineLvl w:val="9"/>
        <w:rPr>
          <w:color w:val="000000"/>
        </w:rPr>
      </w:pPr>
      <w:r>
        <w:t>Availability Requirement</w:t>
      </w:r>
    </w:p>
    <w:p w:rsidR="004F662A" w:rsidP="008E30E0">
      <w:pPr>
        <w:pStyle w:val="ScheduleUntitledsubclause1"/>
        <w:numPr>
          <w:numId w:val="61"/>
        </w:numPr>
        <w:shd w:val="clear" w:color="auto" w:fill="auto"/>
        <w:outlineLvl w:val="9"/>
        <w:rPr>
          <w:color w:val="000000"/>
        </w:rPr>
      </w:pPr>
      <w:r>
        <w:t>Subject to the terms and conditions of this Agreement, the Supplier will use reasonable endeavours to make the Services Available at least 99.5% of the time as measured over a Service Period, excluding unavailability as a result of any Exception (Availability Requirement).</w:t>
      </w:r>
    </w:p>
    <w:p w:rsidR="004F662A" w:rsidP="008E30E0">
      <w:pPr>
        <w:pStyle w:val="ScheduleTitleClause"/>
        <w:numPr>
          <w:numId w:val="61"/>
        </w:numPr>
        <w:shd w:val="clear" w:color="auto" w:fill="auto"/>
        <w:outlineLvl w:val="9"/>
        <w:rPr>
          <w:color w:val="000000"/>
        </w:rPr>
      </w:pPr>
      <w:r>
        <w:t>Service Credits</w:t>
      </w:r>
    </w:p>
    <w:p w:rsidR="004F662A" w:rsidP="008E30E0">
      <w:pPr>
        <w:pStyle w:val="ScheduleUntitledsubclause1"/>
        <w:numPr>
          <w:numId w:val="61"/>
        </w:numPr>
        <w:shd w:val="clear" w:color="auto" w:fill="auto"/>
        <w:outlineLvl w:val="9"/>
        <w:rPr>
          <w:color w:val="000000"/>
        </w:rPr>
      </w:pPr>
      <w:r>
        <w:t>In the event of a Service Level Failure, the Supplier will issue a credit to the Customer in the amount of 10% of the monthly Fees for the Services due for the Service Period the Service Level Failure occurred (each a Service Credit), subject to the following:</w:t>
      </w:r>
    </w:p>
    <w:p w:rsidR="004F662A" w:rsidP="008E30E0">
      <w:pPr>
        <w:pStyle w:val="ScheduleUntitledsubclause2"/>
        <w:numPr>
          <w:numId w:val="61"/>
        </w:numPr>
        <w:shd w:val="clear" w:color="auto" w:fill="auto"/>
        <w:outlineLvl w:val="9"/>
        <w:rPr>
          <w:color w:val="000000"/>
        </w:rPr>
      </w:pPr>
      <w:r>
        <w:t>The Supplier has no obligation to issue any Service Credit unless:</w:t>
      </w:r>
    </w:p>
    <w:p w:rsidR="004F662A" w:rsidP="008E30E0">
      <w:pPr>
        <w:pStyle w:val="ScheduleUntitledsubclause3"/>
        <w:numPr>
          <w:numId w:val="61"/>
        </w:numPr>
        <w:shd w:val="clear" w:color="auto" w:fill="auto"/>
        <w:outlineLvl w:val="9"/>
        <w:rPr>
          <w:color w:val="000000"/>
        </w:rPr>
      </w:pPr>
      <w:r>
        <w:t>the Customer reports the Service Level Failure to the Supplier immediately on becoming aware of it; and</w:t>
      </w:r>
    </w:p>
    <w:p w:rsidR="004F662A" w:rsidP="008E30E0">
      <w:pPr>
        <w:pStyle w:val="ScheduleUntitledsubclause3"/>
        <w:numPr>
          <w:numId w:val="61"/>
        </w:numPr>
        <w:shd w:val="clear" w:color="auto" w:fill="auto"/>
        <w:outlineLvl w:val="9"/>
        <w:rPr>
          <w:color w:val="000000"/>
        </w:rPr>
      </w:pPr>
      <w:r>
        <w:t>requests a Service Credit in writing within 30 days of the Service Level Failure.</w:t>
      </w:r>
    </w:p>
    <w:p w:rsidR="004F662A" w:rsidP="008E30E0">
      <w:pPr>
        <w:pStyle w:val="ScheduleUntitledsubclause2"/>
        <w:numPr>
          <w:numId w:val="61"/>
        </w:numPr>
        <w:shd w:val="clear" w:color="auto" w:fill="auto"/>
        <w:outlineLvl w:val="9"/>
        <w:rPr>
          <w:color w:val="000000"/>
        </w:rPr>
      </w:pPr>
      <w:r>
        <w:t>In no event will a Service Credit for any Service Period exceed 50% of the total Fees that would be payable for that Service Period if no Service Level Failure had occurred.</w:t>
      </w:r>
    </w:p>
    <w:p w:rsidR="004F662A" w:rsidP="008E30E0">
      <w:pPr>
        <w:pStyle w:val="ScheduleUntitledsubclause1"/>
        <w:numPr>
          <w:numId w:val="61"/>
        </w:numPr>
        <w:shd w:val="clear" w:color="auto" w:fill="auto"/>
        <w:outlineLvl w:val="9"/>
        <w:rPr>
          <w:color w:val="000000"/>
        </w:rPr>
      </w:pPr>
      <w:r>
        <w:t>Any Service Credit payable to the Customer under this Agreement will be issued to the Customer in the calendar month following the Service Period in which the Service Level Failure occurred.</w:t>
      </w:r>
    </w:p>
    <w:p w:rsidR="004F662A" w:rsidP="008E30E0">
      <w:pPr>
        <w:pStyle w:val="ScheduleTitleClause"/>
        <w:numPr>
          <w:numId w:val="61"/>
        </w:numPr>
        <w:shd w:val="clear" w:color="auto" w:fill="auto"/>
        <w:outlineLvl w:val="9"/>
        <w:rPr>
          <w:color w:val="000000"/>
        </w:rPr>
      </w:pPr>
      <w:r>
        <w:t>Liability</w:t>
      </w:r>
    </w:p>
    <w:p w:rsidR="004F662A" w:rsidP="008E30E0">
      <w:pPr>
        <w:pStyle w:val="ScheduleUntitledsubclause1"/>
        <w:numPr>
          <w:numId w:val="61"/>
        </w:numPr>
        <w:shd w:val="clear" w:color="auto" w:fill="auto"/>
        <w:outlineLvl w:val="9"/>
        <w:rPr>
          <w:color w:val="000000"/>
        </w:rPr>
      </w:pPr>
      <w:r>
        <w:t>Clause 3 of Schedule 3 is the Supplier's sole obligation and liability and Customer's sole remedy for any Service Level Failure.</w:t>
      </w:r>
    </w:p>
    <w:p w:rsidR="004F662A" w:rsidP="008E30E0">
      <w:pPr>
        <w:pStyle w:val="ScheduleTitleClause"/>
        <w:numPr>
          <w:numId w:val="61"/>
        </w:numPr>
        <w:shd w:val="clear" w:color="auto" w:fill="auto"/>
        <w:outlineLvl w:val="9"/>
        <w:rPr>
          <w:color w:val="000000"/>
        </w:rPr>
      </w:pPr>
      <w:r>
        <w:t>Scheduled Downtime</w:t>
      </w:r>
    </w:p>
    <w:p w:rsidR="004F662A" w:rsidP="008E30E0">
      <w:pPr>
        <w:pStyle w:val="ScheduleUntitledsubclause1"/>
        <w:numPr>
          <w:numId w:val="61"/>
        </w:numPr>
        <w:shd w:val="clear" w:color="auto" w:fill="auto"/>
        <w:outlineLvl w:val="9"/>
        <w:rPr>
          <w:color w:val="000000"/>
        </w:rPr>
      </w:pPr>
      <w:r>
        <w:t>The Supplier will use reasonable endeavours to:</w:t>
      </w:r>
    </w:p>
    <w:p w:rsidR="004F662A" w:rsidP="008E30E0">
      <w:pPr>
        <w:pStyle w:val="ScheduleUntitledsubclause2"/>
        <w:numPr>
          <w:numId w:val="61"/>
        </w:numPr>
        <w:shd w:val="clear" w:color="auto" w:fill="auto"/>
        <w:outlineLvl w:val="9"/>
        <w:rPr>
          <w:color w:val="000000"/>
        </w:rPr>
      </w:pPr>
      <w:r>
        <w:t>schedule downtime for routine maintenance of the Services outside ordinary Australian business hours where practical; and</w:t>
      </w:r>
    </w:p>
    <w:p w:rsidR="004F662A" w:rsidP="008E30E0">
      <w:pPr>
        <w:pStyle w:val="ScheduleUntitledsubclause2"/>
        <w:numPr>
          <w:numId w:val="61"/>
        </w:numPr>
        <w:shd w:val="clear" w:color="auto" w:fill="auto"/>
        <w:outlineLvl w:val="9"/>
        <w:rPr>
          <w:color w:val="000000"/>
        </w:rPr>
      </w:pPr>
      <w:r>
        <w:t>give the Customer at least 24 hours prior notice of all scheduled outages of the Services (Scheduled Downtime).</w:t>
      </w:r>
    </w:p>
    <w:p w:rsidR="004F662A" w:rsidP="008E30E0">
      <w:pPr>
        <w:pStyle w:val="Schedule"/>
        <w:pageBreakBefore/>
        <w:numPr>
          <w:numId w:val="52"/>
        </w:numPr>
        <w:shd w:val="clear" w:color="auto" w:fill="auto"/>
        <w:outlineLvl w:val="9"/>
        <w:rPr>
          <w:color w:val="000000"/>
        </w:rPr>
      </w:pPr>
      <w:r>
        <w:t>Support Services</w:t>
      </w:r>
    </w:p>
    <w:p w:rsidR="004F662A" w:rsidRPr="002109ED" w:rsidP="008E30E0">
      <w:pPr>
        <w:pStyle w:val="Paragraph"/>
        <w:shd w:val="clear" w:color="auto" w:fill="auto"/>
        <w:outlineLvl w:val="9"/>
        <w:rPr>
          <w:color w:val="000000"/>
        </w:rPr>
      </w:pPr>
      <w:r>
        <w:t>Support is available by email at support@episapient.com. Episap will use reasonable endeavours to respond to support requests during Australian business days.</w:t>
      </w:r>
    </w:p>
    <w:p w:rsidR="004F662A" w:rsidP="008E30E0">
      <w:pPr>
        <w:pStyle w:val="Testimonium"/>
        <w:shd w:val="clear" w:color="auto" w:fill="auto"/>
        <w:outlineLvl w:val="9"/>
        <w:rPr>
          <w:color w:val="000000"/>
          <w:lang w:val="en-US"/>
        </w:rPr>
      </w:pPr>
      <w:r>
        <w:t>Executed as an agreement.</w:t>
      </w:r>
    </w:p>
    <w:tbl>
      <w:tblPr>
        <w:tblStyle w:val="TableGrid"/>
        <w:tblW w:w="0" w:type="auto"/>
        <w:tblLook w:val="04A0"/>
      </w:tblPr>
      <w:tblGrid>
        <w:gridCol w:w="10683"/>
      </w:tblGrid>
      <w:tr w:rsidTr="00BC7CFC">
        <w:tblPrEx>
          <w:tblW w:w="0" w:type="auto"/>
          <w:tblLook w:val="04A0"/>
        </w:tblPrEx>
        <w:tc>
          <w:tcPr>
            <w:tcW w:w="10683" w:type="dxa"/>
            <w:tcBorders>
              <w:top w:val="nil"/>
              <w:left w:val="nil"/>
              <w:bottom w:val="nil"/>
              <w:right w:val="nil"/>
            </w:tcBorders>
          </w:tcPr>
          <w:p>
            <w:r>
              <w:t>Signature blocks for the Supplier and Customer are to be inserted at execution.</w:t>
            </w:r>
          </w:p>
        </w:tc>
      </w:tr>
    </w:tbl>
    <w:p>
      <w:r/>
    </w:p>
    <w:sectPr w:rsidSect="00AD30DC">
      <w:type w:val="nextPage"/>
      <w:pgSz w:w="11907" w:h="16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2E09">
    <w:pPr>
      <w:pStyle w:val="Footer"/>
      <w:shd w:val="clear" w:color="auto" w:fill="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2E09" w:rsidP="00DF3B11">
    <w:pPr>
      <w:pStyle w:val="Footer"/>
      <w:shd w:val="clear" w:color="auto" w:fill="auto"/>
      <w:jc w:val="center"/>
      <w:rPr>
        <w:color w:val="000000"/>
      </w:rPr>
    </w:pPr>
    <w:r>
      <w:rPr>
        <w:color w:val="000000"/>
      </w:rPr>
      <w:fldChar w:fldCharType="begin"/>
    </w:r>
    <w:r>
      <w:rPr>
        <w:color w:val="000000"/>
      </w:rPr>
      <w:instrText>PAGE</w:instrText>
    </w:r>
    <w:r>
      <w:rPr>
        <w:color w:val="000000"/>
      </w:rPr>
      <w:fldChar w:fldCharType="separate"/>
    </w:r>
    <w:r>
      <w:rPr>
        <w:color w:val="000000"/>
      </w:rPr>
      <w:t>27</w:t>
    </w:r>
    <w:r>
      <w:rPr>
        <w:color w:val="0000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2E09">
    <w:pPr>
      <w:pStyle w:val="Footer"/>
      <w:shd w:val="clear" w:color="auto" w:fill="auto"/>
      <w:rPr>
        <w:color w:val="00000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F49A4F02"/>
    <w:lvl w:ilvl="0">
      <w:start w:val="1"/>
      <w:numFmt w:val="decimal"/>
      <w:lvlText w:val="%1."/>
      <w:lvlJc w:val="left"/>
      <w:pPr>
        <w:tabs>
          <w:tab w:val="num" w:pos="1492"/>
        </w:tabs>
        <w:ind w:left="1492" w:hanging="360"/>
      </w:pPr>
      <w:rPr>
        <w:color w:val="000000"/>
      </w:rPr>
    </w:lvl>
  </w:abstractNum>
  <w:abstractNum w:abstractNumId="1">
    <w:nsid w:val="FFFFFF7D"/>
    <w:multiLevelType w:val="singleLevel"/>
    <w:tmpl w:val="C6E601EA"/>
    <w:lvl w:ilvl="0">
      <w:start w:val="1"/>
      <w:numFmt w:val="decimal"/>
      <w:lvlText w:val="%1."/>
      <w:lvlJc w:val="left"/>
      <w:pPr>
        <w:tabs>
          <w:tab w:val="num" w:pos="1209"/>
        </w:tabs>
        <w:ind w:left="1209" w:hanging="360"/>
      </w:pPr>
      <w:rPr>
        <w:color w:val="000000"/>
      </w:rPr>
    </w:lvl>
  </w:abstractNum>
  <w:abstractNum w:abstractNumId="2">
    <w:nsid w:val="FFFFFF7E"/>
    <w:multiLevelType w:val="singleLevel"/>
    <w:tmpl w:val="34DC4BC2"/>
    <w:lvl w:ilvl="0">
      <w:start w:val="1"/>
      <w:numFmt w:val="decimal"/>
      <w:lvlText w:val="%1."/>
      <w:lvlJc w:val="left"/>
      <w:pPr>
        <w:tabs>
          <w:tab w:val="num" w:pos="926"/>
        </w:tabs>
        <w:ind w:left="926" w:hanging="360"/>
      </w:pPr>
      <w:rPr>
        <w:color w:val="000000"/>
      </w:rPr>
    </w:lvl>
  </w:abstractNum>
  <w:abstractNum w:abstractNumId="3">
    <w:nsid w:val="FFFFFF7F"/>
    <w:multiLevelType w:val="singleLevel"/>
    <w:tmpl w:val="43686E84"/>
    <w:lvl w:ilvl="0">
      <w:start w:val="1"/>
      <w:numFmt w:val="decimal"/>
      <w:lvlText w:val="%1."/>
      <w:lvlJc w:val="left"/>
      <w:pPr>
        <w:tabs>
          <w:tab w:val="num" w:pos="643"/>
        </w:tabs>
        <w:ind w:left="643" w:hanging="360"/>
      </w:pPr>
      <w:rPr>
        <w:color w:val="000000"/>
      </w:rPr>
    </w:lvl>
  </w:abstractNum>
  <w:abstractNum w:abstractNumId="4">
    <w:nsid w:val="FFFFFF80"/>
    <w:multiLevelType w:val="singleLevel"/>
    <w:tmpl w:val="0D92DB3C"/>
    <w:lvl w:ilvl="0">
      <w:start w:val="1"/>
      <w:numFmt w:val="bullet"/>
      <w:lvlText w:val=""/>
      <w:lvlJc w:val="left"/>
      <w:pPr>
        <w:tabs>
          <w:tab w:val="num" w:pos="1492"/>
        </w:tabs>
        <w:ind w:left="1492" w:hanging="360"/>
      </w:pPr>
      <w:rPr>
        <w:rFonts w:ascii="Symbol" w:hAnsi="Symbol" w:hint="default"/>
        <w:color w:val="000000"/>
      </w:rPr>
    </w:lvl>
  </w:abstractNum>
  <w:abstractNum w:abstractNumId="5">
    <w:nsid w:val="FFFFFF81"/>
    <w:multiLevelType w:val="singleLevel"/>
    <w:tmpl w:val="85F44696"/>
    <w:lvl w:ilvl="0">
      <w:start w:val="1"/>
      <w:numFmt w:val="bullet"/>
      <w:lvlText w:val=""/>
      <w:lvlJc w:val="left"/>
      <w:pPr>
        <w:tabs>
          <w:tab w:val="num" w:pos="1209"/>
        </w:tabs>
        <w:ind w:left="1209" w:hanging="360"/>
      </w:pPr>
      <w:rPr>
        <w:rFonts w:ascii="Symbol" w:hAnsi="Symbol" w:hint="default"/>
        <w:color w:val="000000"/>
      </w:rPr>
    </w:lvl>
  </w:abstractNum>
  <w:abstractNum w:abstractNumId="6">
    <w:nsid w:val="FFFFFF82"/>
    <w:multiLevelType w:val="singleLevel"/>
    <w:tmpl w:val="F080F8D4"/>
    <w:lvl w:ilvl="0">
      <w:start w:val="1"/>
      <w:numFmt w:val="bullet"/>
      <w:lvlText w:val=""/>
      <w:lvlJc w:val="left"/>
      <w:pPr>
        <w:tabs>
          <w:tab w:val="num" w:pos="926"/>
        </w:tabs>
        <w:ind w:left="926" w:hanging="360"/>
      </w:pPr>
      <w:rPr>
        <w:rFonts w:ascii="Symbol" w:hAnsi="Symbol" w:hint="default"/>
        <w:color w:val="000000"/>
      </w:rPr>
    </w:lvl>
  </w:abstractNum>
  <w:abstractNum w:abstractNumId="7">
    <w:nsid w:val="FFFFFF83"/>
    <w:multiLevelType w:val="singleLevel"/>
    <w:tmpl w:val="12942782"/>
    <w:lvl w:ilvl="0">
      <w:start w:val="1"/>
      <w:numFmt w:val="bullet"/>
      <w:lvlText w:val=""/>
      <w:lvlJc w:val="left"/>
      <w:pPr>
        <w:tabs>
          <w:tab w:val="num" w:pos="643"/>
        </w:tabs>
        <w:ind w:left="643" w:hanging="360"/>
      </w:pPr>
      <w:rPr>
        <w:rFonts w:ascii="Symbol" w:hAnsi="Symbol" w:hint="default"/>
        <w:color w:val="000000"/>
      </w:rPr>
    </w:lvl>
  </w:abstractNum>
  <w:abstractNum w:abstractNumId="8">
    <w:nsid w:val="FFFFFF88"/>
    <w:multiLevelType w:val="singleLevel"/>
    <w:tmpl w:val="BAF24A50"/>
    <w:lvl w:ilvl="0">
      <w:start w:val="1"/>
      <w:numFmt w:val="decimal"/>
      <w:lvlText w:val="%1."/>
      <w:lvlJc w:val="left"/>
      <w:pPr>
        <w:tabs>
          <w:tab w:val="num" w:pos="360"/>
        </w:tabs>
        <w:ind w:left="360" w:hanging="360"/>
      </w:pPr>
      <w:rPr>
        <w:color w:val="000000"/>
      </w:rPr>
    </w:lvl>
  </w:abstractNum>
  <w:abstractNum w:abstractNumId="9">
    <w:nsid w:val="FFFFFF89"/>
    <w:multiLevelType w:val="singleLevel"/>
    <w:tmpl w:val="0D0CEAF4"/>
    <w:lvl w:ilvl="0">
      <w:start w:val="1"/>
      <w:numFmt w:val="bullet"/>
      <w:lvlText w:val=""/>
      <w:lvlJc w:val="left"/>
      <w:pPr>
        <w:tabs>
          <w:tab w:val="num" w:pos="360"/>
        </w:tabs>
        <w:ind w:left="360" w:hanging="360"/>
      </w:pPr>
      <w:rPr>
        <w:rFonts w:ascii="Symbol" w:hAnsi="Symbol" w:hint="default"/>
        <w:color w:val="000000"/>
      </w:rPr>
    </w:lvl>
  </w:abstractNum>
  <w:abstractNum w:abstractNumId="1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7253412"/>
    <w:multiLevelType w:val="hybridMultilevel"/>
    <w:tmpl w:val="960CC850"/>
    <w:lvl w:ilvl="0">
      <w:start w:val="1"/>
      <w:numFmt w:val="bullet"/>
      <w:pStyle w:val="DefinedTermBullet"/>
      <w:lvlText w:val=""/>
      <w:lvlJc w:val="left"/>
      <w:pPr>
        <w:ind w:left="1440" w:hanging="360"/>
      </w:pPr>
      <w:rPr>
        <w:rFonts w:ascii="Symbol" w:hAnsi="Symbol" w:hint="default"/>
        <w:color w:val="00000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0DEB2104"/>
    <w:multiLevelType w:val="multilevel"/>
    <w:tmpl w:val="26B41F5A"/>
    <w:lvl w:ilvl="0">
      <w:start w:val="1"/>
      <w:numFmt w:val="decimal"/>
      <w:lvlText w:val="Schedule %1"/>
      <w:lvlJc w:val="left"/>
      <w:pPr>
        <w:ind w:left="360" w:hanging="360"/>
      </w:pPr>
      <w:rPr>
        <w:rFonts w:hint="default"/>
        <w:color w:val="000000"/>
        <w:lang w:val="en-GB"/>
      </w:rPr>
    </w:lvl>
    <w:lvl w:ilvl="1">
      <w:start w:val="1"/>
      <w:numFmt w:val="decimal"/>
      <w:lvlText w:val="Part %2"/>
      <w:lvlJc w:val="left"/>
      <w:pPr>
        <w:ind w:left="357" w:hanging="357"/>
      </w:pPr>
      <w:rPr>
        <w:rFonts w:hint="default"/>
      </w:rPr>
    </w:lvl>
    <w:lvl w:ilvl="2">
      <w:start w:val="1"/>
      <w:numFmt w:val="decimal"/>
      <w:lvlText w:val="%3."/>
      <w:lvlJc w:val="left"/>
      <w:pPr>
        <w:ind w:left="357" w:hanging="357"/>
      </w:pPr>
      <w:rPr>
        <w:rFonts w:hint="default"/>
      </w:rPr>
    </w:lvl>
    <w:lvl w:ilvl="3">
      <w:start w:val="1"/>
      <w:numFmt w:val="decimal"/>
      <w:lvlRestart w:val="2"/>
      <w:lvlText w:val="%3.%4"/>
      <w:lvlJc w:val="left"/>
      <w:pPr>
        <w:tabs>
          <w:tab w:val="num" w:pos="357"/>
        </w:tabs>
        <w:ind w:left="357" w:hanging="357"/>
      </w:pPr>
      <w:rPr>
        <w:rFonts w:hint="default"/>
      </w:rPr>
    </w:lvl>
    <w:lvl w:ilvl="4">
      <w:start w:val="1"/>
      <w:numFmt w:val="lowerLetter"/>
      <w:lvlText w:val="(%5)"/>
      <w:lvlJc w:val="left"/>
      <w:pPr>
        <w:ind w:left="1775" w:hanging="703"/>
      </w:pPr>
      <w:rPr>
        <w:rFonts w:hint="default"/>
      </w:rPr>
    </w:lvl>
    <w:lvl w:ilvl="5">
      <w:start w:val="1"/>
      <w:numFmt w:val="lowerRoman"/>
      <w:lvlText w:val="(%6)"/>
      <w:lvlJc w:val="left"/>
      <w:pPr>
        <w:ind w:left="2381" w:hanging="60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1825EA9"/>
    <w:multiLevelType w:val="multilevel"/>
    <w:tmpl w:val="B5EA651E"/>
    <w:lvl w:ilvl="0">
      <w:start w:val="1"/>
      <w:numFmt w:val="decimal"/>
      <w:pStyle w:val="Schedule"/>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color w:val="000000"/>
      </w:rPr>
    </w:lvl>
    <w:lvl w:ilvl="2">
      <w:start w:val="1"/>
      <w:numFmt w:val="decimal"/>
      <w:pStyle w:val="ScheduleTitleClause"/>
      <w:lvlText w:val="%3."/>
      <w:lvlJc w:val="left"/>
      <w:pPr>
        <w:tabs>
          <w:tab w:val="num" w:pos="720"/>
        </w:tabs>
        <w:ind w:left="720" w:hanging="720"/>
      </w:pPr>
      <w:rPr>
        <w:rFonts w:hint="default"/>
        <w:color w:val="000000"/>
      </w:rPr>
    </w:lvl>
    <w:lvl w:ilvl="3">
      <w:start w:val="1"/>
      <w:numFmt w:val="decimal"/>
      <w:pStyle w:val="ScheduleUntitledsubclause1"/>
      <w:lvlText w:val="%3.%4"/>
      <w:lvlJc w:val="left"/>
      <w:pPr>
        <w:tabs>
          <w:tab w:val="num" w:pos="720"/>
        </w:tabs>
        <w:ind w:left="720" w:hanging="720"/>
      </w:pPr>
      <w:rPr>
        <w:rFonts w:hint="default"/>
        <w:color w:val="000000"/>
      </w:rPr>
    </w:lvl>
    <w:lvl w:ilvl="4">
      <w:start w:val="1"/>
      <w:numFmt w:val="lowerLetter"/>
      <w:pStyle w:val="ScheduleUntitledsubclause2"/>
      <w:lvlText w:val="(%5)"/>
      <w:lvlJc w:val="left"/>
      <w:pPr>
        <w:tabs>
          <w:tab w:val="num" w:pos="1555"/>
        </w:tabs>
        <w:ind w:left="1555" w:hanging="561"/>
      </w:pPr>
      <w:rPr>
        <w:rFonts w:hint="default"/>
        <w:color w:val="000000"/>
      </w:rPr>
    </w:lvl>
    <w:lvl w:ilvl="5">
      <w:start w:val="1"/>
      <w:numFmt w:val="lowerRoman"/>
      <w:pStyle w:val="ScheduleUntitledsubclause3"/>
      <w:lvlText w:val="(%6)"/>
      <w:lvlJc w:val="left"/>
      <w:pPr>
        <w:tabs>
          <w:tab w:val="num" w:pos="2419"/>
        </w:tabs>
        <w:ind w:left="2275" w:hanging="576"/>
      </w:pPr>
      <w:rPr>
        <w:rFonts w:hint="default"/>
        <w:color w:val="00000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64E63F9"/>
    <w:multiLevelType w:val="hybridMultilevel"/>
    <w:tmpl w:val="F9EEB024"/>
    <w:lvl w:ilvl="0">
      <w:start w:val="1"/>
      <w:numFmt w:val="decimal"/>
      <w:lvlText w:val="Schedule %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0E82F3A"/>
    <w:multiLevelType w:val="hybridMultilevel"/>
    <w:tmpl w:val="1DF80854"/>
    <w:lvl w:ilvl="0">
      <w:start w:val="1"/>
      <w:numFmt w:val="decimal"/>
      <w:pStyle w:val="ScheduleHeading-Single"/>
      <w:lvlText w:val="Schedule"/>
      <w:lvlJc w:val="left"/>
      <w:pPr>
        <w:tabs>
          <w:tab w:val="num" w:pos="720"/>
        </w:tabs>
        <w:ind w:left="720" w:hanging="720"/>
      </w:pPr>
      <w:rPr>
        <w:color w:val="00000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23F230AE"/>
    <w:multiLevelType w:val="hybridMultilevel"/>
    <w:tmpl w:val="DC3EE75A"/>
    <w:lvl w:ilvl="0">
      <w:start w:val="1"/>
      <w:numFmt w:val="decimal"/>
      <w:lvlText w:val="Part %1"/>
      <w:lvlJc w:val="left"/>
      <w:pPr>
        <w:ind w:left="720" w:hanging="360"/>
      </w:pPr>
      <w:rPr>
        <w:rFonts w:hint="default"/>
        <w:b/>
        <w:i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5B00E4C"/>
    <w:multiLevelType w:val="hybridMultilevel"/>
    <w:tmpl w:val="97C4AA26"/>
    <w:lvl w:ilvl="0">
      <w:start w:val="1"/>
      <w:numFmt w:val="upperLetter"/>
      <w:pStyle w:val="Annex"/>
      <w:lvlText w:val="ATTACHMENT %1"/>
      <w:lvlJc w:val="left"/>
      <w:pPr>
        <w:ind w:left="720" w:hanging="360"/>
      </w:pPr>
      <w:rPr>
        <w:rFonts w:cs="Times New Roman" w:hint="default"/>
        <w:b/>
        <w:bCs w:val="0"/>
        <w:i w:val="0"/>
        <w:iCs w:val="0"/>
        <w:caps w:val="0"/>
        <w:strike w:val="0"/>
        <w:dstrike w:val="0"/>
        <w:outline w:val="0"/>
        <w:shadow w:val="0"/>
        <w:emboss w:val="0"/>
        <w:imprint w:val="0"/>
        <w:vanish w:val="0"/>
        <w:color w:val="000000"/>
        <w:spacing w:val="0"/>
        <w:kern w:val="0"/>
        <w:position w:val="0"/>
        <w:u w:val="none"/>
        <w:effect w:val="none"/>
        <w:vertAlign w:val="baseline"/>
        <w14:ligatures w14:val="none"/>
        <w14:numForm w14:val="default"/>
        <w14:numSpacing w14:val="default"/>
        <w14:stylisticSets xmlns:w14="http://schemas.microsoft.com/office/word/2010/wordml"/>
        <w14:cntxtAlts w14: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9C94F29"/>
    <w:multiLevelType w:val="hybridMultilevel"/>
    <w:tmpl w:val="4CBC2A34"/>
    <w:lvl w:ilvl="0">
      <w:start w:val="1"/>
      <w:numFmt w:val="decimal"/>
      <w:pStyle w:val="QuestionParagraph"/>
      <w:lvlText w:val="%1."/>
      <w:lvlJc w:val="left"/>
      <w:pPr>
        <w:ind w:left="720" w:hanging="360"/>
      </w:pPr>
      <w:rPr>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10416CA"/>
    <w:multiLevelType w:val="hybridMultilevel"/>
    <w:tmpl w:val="072EDEC8"/>
    <w:lvl w:ilvl="0">
      <w:start w:val="1"/>
      <w:numFmt w:val="bullet"/>
      <w:pStyle w:val="subclause2Bullet2"/>
      <w:lvlText w:val=""/>
      <w:lvlJc w:val="left"/>
      <w:pPr>
        <w:ind w:left="2279" w:hanging="360"/>
      </w:pPr>
      <w:rPr>
        <w:rFonts w:ascii="Symbol" w:hAnsi="Symbol" w:hint="default"/>
        <w:color w:val="000000"/>
      </w:rPr>
    </w:lvl>
    <w:lvl w:ilvl="1" w:tentative="1">
      <w:start w:val="1"/>
      <w:numFmt w:val="bullet"/>
      <w:lvlText w:val="o"/>
      <w:lvlJc w:val="left"/>
      <w:pPr>
        <w:ind w:left="2999" w:hanging="360"/>
      </w:pPr>
      <w:rPr>
        <w:rFonts w:ascii="Courier New" w:hAnsi="Courier New" w:cs="Courier New" w:hint="default"/>
      </w:rPr>
    </w:lvl>
    <w:lvl w:ilvl="2" w:tentative="1">
      <w:start w:val="1"/>
      <w:numFmt w:val="bullet"/>
      <w:lvlText w:val=""/>
      <w:lvlJc w:val="left"/>
      <w:pPr>
        <w:ind w:left="3719" w:hanging="360"/>
      </w:pPr>
      <w:rPr>
        <w:rFonts w:ascii="Wingdings" w:hAnsi="Wingdings" w:hint="default"/>
      </w:rPr>
    </w:lvl>
    <w:lvl w:ilvl="3" w:tentative="1">
      <w:start w:val="1"/>
      <w:numFmt w:val="bullet"/>
      <w:lvlText w:val=""/>
      <w:lvlJc w:val="left"/>
      <w:pPr>
        <w:ind w:left="4439" w:hanging="360"/>
      </w:pPr>
      <w:rPr>
        <w:rFonts w:ascii="Symbol" w:hAnsi="Symbol" w:hint="default"/>
      </w:rPr>
    </w:lvl>
    <w:lvl w:ilvl="4" w:tentative="1">
      <w:start w:val="1"/>
      <w:numFmt w:val="bullet"/>
      <w:lvlText w:val="o"/>
      <w:lvlJc w:val="left"/>
      <w:pPr>
        <w:ind w:left="5159" w:hanging="360"/>
      </w:pPr>
      <w:rPr>
        <w:rFonts w:ascii="Courier New" w:hAnsi="Courier New" w:cs="Courier New" w:hint="default"/>
      </w:rPr>
    </w:lvl>
    <w:lvl w:ilvl="5" w:tentative="1">
      <w:start w:val="1"/>
      <w:numFmt w:val="bullet"/>
      <w:lvlText w:val=""/>
      <w:lvlJc w:val="left"/>
      <w:pPr>
        <w:ind w:left="5879" w:hanging="360"/>
      </w:pPr>
      <w:rPr>
        <w:rFonts w:ascii="Wingdings" w:hAnsi="Wingdings" w:hint="default"/>
      </w:rPr>
    </w:lvl>
    <w:lvl w:ilvl="6" w:tentative="1">
      <w:start w:val="1"/>
      <w:numFmt w:val="bullet"/>
      <w:lvlText w:val=""/>
      <w:lvlJc w:val="left"/>
      <w:pPr>
        <w:ind w:left="6599" w:hanging="360"/>
      </w:pPr>
      <w:rPr>
        <w:rFonts w:ascii="Symbol" w:hAnsi="Symbol" w:hint="default"/>
      </w:rPr>
    </w:lvl>
    <w:lvl w:ilvl="7" w:tentative="1">
      <w:start w:val="1"/>
      <w:numFmt w:val="bullet"/>
      <w:lvlText w:val="o"/>
      <w:lvlJc w:val="left"/>
      <w:pPr>
        <w:ind w:left="7319" w:hanging="360"/>
      </w:pPr>
      <w:rPr>
        <w:rFonts w:ascii="Courier New" w:hAnsi="Courier New" w:cs="Courier New" w:hint="default"/>
      </w:rPr>
    </w:lvl>
    <w:lvl w:ilvl="8" w:tentative="1">
      <w:start w:val="1"/>
      <w:numFmt w:val="bullet"/>
      <w:lvlText w:val=""/>
      <w:lvlJc w:val="left"/>
      <w:pPr>
        <w:ind w:left="8039" w:hanging="360"/>
      </w:pPr>
      <w:rPr>
        <w:rFonts w:ascii="Wingdings" w:hAnsi="Wingdings" w:hint="default"/>
      </w:rPr>
    </w:lvl>
  </w:abstractNum>
  <w:abstractNum w:abstractNumId="20">
    <w:nsid w:val="31043379"/>
    <w:multiLevelType w:val="hybridMultilevel"/>
    <w:tmpl w:val="1B98077E"/>
    <w:lvl w:ilvl="0">
      <w:start w:val="1"/>
      <w:numFmt w:val="decimal"/>
      <w:lvlText w:val="%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1E9741F"/>
    <w:multiLevelType w:val="hybridMultilevel"/>
    <w:tmpl w:val="0CAC7D4E"/>
    <w:lvl w:ilvl="0">
      <w:start w:val="1"/>
      <w:numFmt w:val="bullet"/>
      <w:pStyle w:val="BulletList2"/>
      <w:lvlText w:val=""/>
      <w:lvlJc w:val="left"/>
      <w:pPr>
        <w:tabs>
          <w:tab w:val="num" w:pos="1077"/>
        </w:tabs>
        <w:ind w:left="1077" w:hanging="357"/>
      </w:pPr>
      <w:rPr>
        <w:rFonts w:ascii="Symbol" w:hAnsi="Symbol" w:hint="default"/>
        <w:color w:val="00000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33CC668D"/>
    <w:multiLevelType w:val="hybridMultilevel"/>
    <w:tmpl w:val="594C4DAE"/>
    <w:lvl w:ilvl="0">
      <w:start w:val="1"/>
      <w:numFmt w:val="bullet"/>
      <w:pStyle w:val="Bullet4"/>
      <w:lvlText w:val=""/>
      <w:lvlJc w:val="left"/>
      <w:pPr>
        <w:tabs>
          <w:tab w:val="num" w:pos="2676"/>
        </w:tabs>
        <w:ind w:left="2676" w:hanging="357"/>
      </w:pPr>
      <w:rPr>
        <w:rFonts w:ascii="Symbol" w:hAnsi="Symbol" w:hint="default"/>
        <w:color w:val="00000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24">
    <w:nsid w:val="38130038"/>
    <w:multiLevelType w:val="hybridMultilevel"/>
    <w:tmpl w:val="FF8A0FAE"/>
    <w:lvl w:ilvl="0">
      <w:start w:val="1"/>
      <w:numFmt w:val="bullet"/>
      <w:pStyle w:val="ClauseBullet2"/>
      <w:lvlText w:val=""/>
      <w:lvlJc w:val="left"/>
      <w:pPr>
        <w:ind w:left="1440" w:hanging="360"/>
      </w:pPr>
      <w:rPr>
        <w:rFonts w:ascii="Symbol" w:hAnsi="Symbol" w:hint="default"/>
        <w:color w:val="00000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3D245052"/>
    <w:multiLevelType w:val="hybridMultilevel"/>
    <w:tmpl w:val="412486D4"/>
    <w:lvl w:ilvl="0">
      <w:start w:val="1"/>
      <w:numFmt w:val="lowerLetter"/>
      <w:lvlText w:val="%1)"/>
      <w:lvlJc w:val="left"/>
      <w:pPr>
        <w:ind w:left="1354" w:hanging="360"/>
      </w:pPr>
      <w:rPr>
        <w:rFonts w:hint="default"/>
        <w:color w:val="000000"/>
      </w:rPr>
    </w:lvl>
    <w:lvl w:ilvl="1" w:tentative="1">
      <w:start w:val="1"/>
      <w:numFmt w:val="lowerLetter"/>
      <w:lvlText w:val="%2."/>
      <w:lvlJc w:val="left"/>
      <w:pPr>
        <w:ind w:left="2074" w:hanging="360"/>
      </w:pPr>
    </w:lvl>
    <w:lvl w:ilvl="2" w:tentative="1">
      <w:start w:val="1"/>
      <w:numFmt w:val="lowerRoman"/>
      <w:lvlText w:val="%3."/>
      <w:lvlJc w:val="right"/>
      <w:pPr>
        <w:ind w:left="2794" w:hanging="180"/>
      </w:pPr>
    </w:lvl>
    <w:lvl w:ilvl="3" w:tentative="1">
      <w:start w:val="1"/>
      <w:numFmt w:val="decimal"/>
      <w:lvlText w:val="%4."/>
      <w:lvlJc w:val="left"/>
      <w:pPr>
        <w:ind w:left="3514" w:hanging="360"/>
      </w:pPr>
    </w:lvl>
    <w:lvl w:ilvl="4" w:tentative="1">
      <w:start w:val="1"/>
      <w:numFmt w:val="lowerLetter"/>
      <w:lvlText w:val="%5."/>
      <w:lvlJc w:val="left"/>
      <w:pPr>
        <w:ind w:left="4234" w:hanging="360"/>
      </w:pPr>
    </w:lvl>
    <w:lvl w:ilvl="5" w:tentative="1">
      <w:start w:val="1"/>
      <w:numFmt w:val="lowerRoman"/>
      <w:lvlText w:val="%6."/>
      <w:lvlJc w:val="right"/>
      <w:pPr>
        <w:ind w:left="4954" w:hanging="180"/>
      </w:pPr>
    </w:lvl>
    <w:lvl w:ilvl="6" w:tentative="1">
      <w:start w:val="1"/>
      <w:numFmt w:val="decimal"/>
      <w:lvlText w:val="%7."/>
      <w:lvlJc w:val="left"/>
      <w:pPr>
        <w:ind w:left="5674" w:hanging="360"/>
      </w:pPr>
    </w:lvl>
    <w:lvl w:ilvl="7" w:tentative="1">
      <w:start w:val="1"/>
      <w:numFmt w:val="lowerLetter"/>
      <w:lvlText w:val="%8."/>
      <w:lvlJc w:val="left"/>
      <w:pPr>
        <w:ind w:left="6394" w:hanging="360"/>
      </w:pPr>
    </w:lvl>
    <w:lvl w:ilvl="8" w:tentative="1">
      <w:start w:val="1"/>
      <w:numFmt w:val="lowerRoman"/>
      <w:lvlText w:val="%9."/>
      <w:lvlJc w:val="right"/>
      <w:pPr>
        <w:ind w:left="7114" w:hanging="180"/>
      </w:pPr>
    </w:lvl>
  </w:abstractNum>
  <w:abstractNum w:abstractNumId="26">
    <w:nsid w:val="44D67987"/>
    <w:multiLevelType w:val="hybridMultilevel"/>
    <w:tmpl w:val="EBD6FB80"/>
    <w:lvl w:ilvl="0">
      <w:start w:val="1"/>
      <w:numFmt w:val="bullet"/>
      <w:pStyle w:val="subclause1Bullet2"/>
      <w:lvlText w:val=""/>
      <w:lvlJc w:val="left"/>
      <w:pPr>
        <w:ind w:left="1440" w:hanging="360"/>
      </w:pPr>
      <w:rPr>
        <w:rFonts w:ascii="Symbol" w:hAnsi="Symbol" w:hint="default"/>
        <w:color w:val="00000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44E96665"/>
    <w:multiLevelType w:val="hybridMultilevel"/>
    <w:tmpl w:val="EF1E142A"/>
    <w:lvl w:ilvl="0">
      <w:start w:val="1"/>
      <w:numFmt w:val="bullet"/>
      <w:pStyle w:val="subclause3Bullet1"/>
      <w:lvlText w:val=""/>
      <w:lvlJc w:val="left"/>
      <w:pPr>
        <w:ind w:left="2988" w:hanging="360"/>
      </w:pPr>
      <w:rPr>
        <w:rFonts w:ascii="Symbol" w:hAnsi="Symbol" w:hint="default"/>
        <w:color w:val="000000"/>
      </w:rPr>
    </w:lvl>
    <w:lvl w:ilvl="1" w:tentative="1">
      <w:start w:val="1"/>
      <w:numFmt w:val="bullet"/>
      <w:lvlText w:val="o"/>
      <w:lvlJc w:val="left"/>
      <w:pPr>
        <w:ind w:left="3708" w:hanging="360"/>
      </w:pPr>
      <w:rPr>
        <w:rFonts w:ascii="Courier New" w:hAnsi="Courier New" w:cs="Courier New" w:hint="default"/>
      </w:rPr>
    </w:lvl>
    <w:lvl w:ilvl="2" w:tentative="1">
      <w:start w:val="1"/>
      <w:numFmt w:val="bullet"/>
      <w:lvlText w:val=""/>
      <w:lvlJc w:val="left"/>
      <w:pPr>
        <w:ind w:left="4428" w:hanging="360"/>
      </w:pPr>
      <w:rPr>
        <w:rFonts w:ascii="Wingdings" w:hAnsi="Wingdings" w:hint="default"/>
      </w:rPr>
    </w:lvl>
    <w:lvl w:ilvl="3" w:tentative="1">
      <w:start w:val="1"/>
      <w:numFmt w:val="bullet"/>
      <w:lvlText w:val=""/>
      <w:lvlJc w:val="left"/>
      <w:pPr>
        <w:ind w:left="5148" w:hanging="360"/>
      </w:pPr>
      <w:rPr>
        <w:rFonts w:ascii="Symbol" w:hAnsi="Symbol" w:hint="default"/>
      </w:rPr>
    </w:lvl>
    <w:lvl w:ilvl="4" w:tentative="1">
      <w:start w:val="1"/>
      <w:numFmt w:val="bullet"/>
      <w:lvlText w:val="o"/>
      <w:lvlJc w:val="left"/>
      <w:pPr>
        <w:ind w:left="5868" w:hanging="360"/>
      </w:pPr>
      <w:rPr>
        <w:rFonts w:ascii="Courier New" w:hAnsi="Courier New" w:cs="Courier New" w:hint="default"/>
      </w:rPr>
    </w:lvl>
    <w:lvl w:ilvl="5" w:tentative="1">
      <w:start w:val="1"/>
      <w:numFmt w:val="bullet"/>
      <w:lvlText w:val=""/>
      <w:lvlJc w:val="left"/>
      <w:pPr>
        <w:ind w:left="6588" w:hanging="360"/>
      </w:pPr>
      <w:rPr>
        <w:rFonts w:ascii="Wingdings" w:hAnsi="Wingdings" w:hint="default"/>
      </w:rPr>
    </w:lvl>
    <w:lvl w:ilvl="6" w:tentative="1">
      <w:start w:val="1"/>
      <w:numFmt w:val="bullet"/>
      <w:lvlText w:val=""/>
      <w:lvlJc w:val="left"/>
      <w:pPr>
        <w:ind w:left="7308" w:hanging="360"/>
      </w:pPr>
      <w:rPr>
        <w:rFonts w:ascii="Symbol" w:hAnsi="Symbol" w:hint="default"/>
      </w:rPr>
    </w:lvl>
    <w:lvl w:ilvl="7" w:tentative="1">
      <w:start w:val="1"/>
      <w:numFmt w:val="bullet"/>
      <w:lvlText w:val="o"/>
      <w:lvlJc w:val="left"/>
      <w:pPr>
        <w:ind w:left="8028" w:hanging="360"/>
      </w:pPr>
      <w:rPr>
        <w:rFonts w:ascii="Courier New" w:hAnsi="Courier New" w:cs="Courier New" w:hint="default"/>
      </w:rPr>
    </w:lvl>
    <w:lvl w:ilvl="8" w:tentative="1">
      <w:start w:val="1"/>
      <w:numFmt w:val="bullet"/>
      <w:lvlText w:val=""/>
      <w:lvlJc w:val="left"/>
      <w:pPr>
        <w:ind w:left="8748" w:hanging="360"/>
      </w:pPr>
      <w:rPr>
        <w:rFonts w:ascii="Wingdings" w:hAnsi="Wingdings" w:hint="default"/>
      </w:rPr>
    </w:lvl>
  </w:abstractNum>
  <w:abstractNum w:abstractNumId="28">
    <w:nsid w:val="46AC04C6"/>
    <w:multiLevelType w:val="hybridMultilevel"/>
    <w:tmpl w:val="E6C47700"/>
    <w:lvl w:ilvl="0">
      <w:start w:val="1"/>
      <w:numFmt w:val="bullet"/>
      <w:pStyle w:val="subclause2Bullet1"/>
      <w:lvlText w:val=""/>
      <w:lvlJc w:val="left"/>
      <w:pPr>
        <w:ind w:left="2279" w:hanging="360"/>
      </w:pPr>
      <w:rPr>
        <w:rFonts w:ascii="Symbol" w:hAnsi="Symbol" w:hint="default"/>
        <w:color w:val="000000"/>
      </w:rPr>
    </w:lvl>
    <w:lvl w:ilvl="1" w:tentative="1">
      <w:start w:val="1"/>
      <w:numFmt w:val="bullet"/>
      <w:lvlText w:val="o"/>
      <w:lvlJc w:val="left"/>
      <w:pPr>
        <w:ind w:left="2999" w:hanging="360"/>
      </w:pPr>
      <w:rPr>
        <w:rFonts w:ascii="Courier New" w:hAnsi="Courier New" w:cs="Courier New" w:hint="default"/>
      </w:rPr>
    </w:lvl>
    <w:lvl w:ilvl="2" w:tentative="1">
      <w:start w:val="1"/>
      <w:numFmt w:val="bullet"/>
      <w:lvlText w:val=""/>
      <w:lvlJc w:val="left"/>
      <w:pPr>
        <w:ind w:left="3719" w:hanging="360"/>
      </w:pPr>
      <w:rPr>
        <w:rFonts w:ascii="Wingdings" w:hAnsi="Wingdings" w:hint="default"/>
      </w:rPr>
    </w:lvl>
    <w:lvl w:ilvl="3" w:tentative="1">
      <w:start w:val="1"/>
      <w:numFmt w:val="bullet"/>
      <w:lvlText w:val=""/>
      <w:lvlJc w:val="left"/>
      <w:pPr>
        <w:ind w:left="4439" w:hanging="360"/>
      </w:pPr>
      <w:rPr>
        <w:rFonts w:ascii="Symbol" w:hAnsi="Symbol" w:hint="default"/>
      </w:rPr>
    </w:lvl>
    <w:lvl w:ilvl="4" w:tentative="1">
      <w:start w:val="1"/>
      <w:numFmt w:val="bullet"/>
      <w:lvlText w:val="o"/>
      <w:lvlJc w:val="left"/>
      <w:pPr>
        <w:ind w:left="5159" w:hanging="360"/>
      </w:pPr>
      <w:rPr>
        <w:rFonts w:ascii="Courier New" w:hAnsi="Courier New" w:cs="Courier New" w:hint="default"/>
      </w:rPr>
    </w:lvl>
    <w:lvl w:ilvl="5" w:tentative="1">
      <w:start w:val="1"/>
      <w:numFmt w:val="bullet"/>
      <w:lvlText w:val=""/>
      <w:lvlJc w:val="left"/>
      <w:pPr>
        <w:ind w:left="5879" w:hanging="360"/>
      </w:pPr>
      <w:rPr>
        <w:rFonts w:ascii="Wingdings" w:hAnsi="Wingdings" w:hint="default"/>
      </w:rPr>
    </w:lvl>
    <w:lvl w:ilvl="6" w:tentative="1">
      <w:start w:val="1"/>
      <w:numFmt w:val="bullet"/>
      <w:lvlText w:val=""/>
      <w:lvlJc w:val="left"/>
      <w:pPr>
        <w:ind w:left="6599" w:hanging="360"/>
      </w:pPr>
      <w:rPr>
        <w:rFonts w:ascii="Symbol" w:hAnsi="Symbol" w:hint="default"/>
      </w:rPr>
    </w:lvl>
    <w:lvl w:ilvl="7" w:tentative="1">
      <w:start w:val="1"/>
      <w:numFmt w:val="bullet"/>
      <w:lvlText w:val="o"/>
      <w:lvlJc w:val="left"/>
      <w:pPr>
        <w:ind w:left="7319" w:hanging="360"/>
      </w:pPr>
      <w:rPr>
        <w:rFonts w:ascii="Courier New" w:hAnsi="Courier New" w:cs="Courier New" w:hint="default"/>
      </w:rPr>
    </w:lvl>
    <w:lvl w:ilvl="8" w:tentative="1">
      <w:start w:val="1"/>
      <w:numFmt w:val="bullet"/>
      <w:lvlText w:val=""/>
      <w:lvlJc w:val="left"/>
      <w:pPr>
        <w:ind w:left="8039" w:hanging="360"/>
      </w:pPr>
      <w:rPr>
        <w:rFonts w:ascii="Wingdings" w:hAnsi="Wingdings" w:hint="default"/>
      </w:rPr>
    </w:lvl>
  </w:abstractNum>
  <w:abstractNum w:abstractNumId="29">
    <w:nsid w:val="47F42723"/>
    <w:multiLevelType w:val="hybridMultilevel"/>
    <w:tmpl w:val="C5A02EE6"/>
    <w:lvl w:ilvl="0">
      <w:start w:val="1"/>
      <w:numFmt w:val="bullet"/>
      <w:pStyle w:val="subclause1Bullet1"/>
      <w:lvlText w:val=""/>
      <w:lvlJc w:val="left"/>
      <w:pPr>
        <w:ind w:left="1440" w:hanging="360"/>
      </w:pPr>
      <w:rPr>
        <w:rFonts w:ascii="Symbol" w:hAnsi="Symbol" w:hint="default"/>
        <w:color w:val="00000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4B716268"/>
    <w:multiLevelType w:val="hybridMultilevel"/>
    <w:tmpl w:val="E2CEABF8"/>
    <w:lvl w:ilvl="0">
      <w:start w:val="1"/>
      <w:numFmt w:val="decimal"/>
      <w:lvlText w:val="%1."/>
      <w:lvlJc w:val="left"/>
      <w:pPr>
        <w:ind w:left="1020" w:hanging="360"/>
      </w:pPr>
      <w:rPr>
        <w:color w:val="000000"/>
      </w:r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1">
    <w:nsid w:val="55CB0AF0"/>
    <w:multiLevelType w:val="hybridMultilevel"/>
    <w:tmpl w:val="EB98B43A"/>
    <w:lvl w:ilvl="0">
      <w:start w:val="1"/>
      <w:numFmt w:val="decimal"/>
      <w:pStyle w:val="LongQuestionPara"/>
      <w:lvlText w:val="%1."/>
      <w:lvlJc w:val="left"/>
      <w:pPr>
        <w:ind w:left="360" w:hanging="360"/>
      </w:pPr>
      <w:rPr>
        <w:rFonts w:hint="default"/>
        <w:b/>
        <w:i w:val="0"/>
        <w:color w:val="00000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Jc w:val="left"/>
      <w:pPr>
        <w:ind w:left="0" w:firstLine="0"/>
      </w:pPr>
    </w:lvl>
    <w:lvl w:ilvl="2">
      <w:start w:val="1"/>
      <w:numFmt w:val="none"/>
      <w:pStyle w:val="Heading3"/>
      <w:suff w:val="nothing"/>
      <w:lvlJc w:val="left"/>
      <w:pPr>
        <w:ind w:left="0" w:firstLine="0"/>
      </w:pPr>
    </w:lvl>
    <w:lvl w:ilvl="3">
      <w:start w:val="1"/>
      <w:numFmt w:val="none"/>
      <w:pStyle w:val="Heading4"/>
      <w:suff w:val="nothing"/>
      <w:lvlJc w:val="left"/>
      <w:pPr>
        <w:ind w:left="0" w:firstLine="0"/>
      </w:pPr>
    </w:lvl>
    <w:lvl w:ilvl="4">
      <w:start w:val="1"/>
      <w:numFmt w:val="none"/>
      <w:pStyle w:val="Heading5"/>
      <w:suff w:val="nothing"/>
      <w:lvlJc w:val="left"/>
      <w:pPr>
        <w:ind w:left="0" w:firstLine="0"/>
      </w:pPr>
    </w:lvl>
    <w:lvl w:ilvl="5">
      <w:start w:val="1"/>
      <w:numFmt w:val="none"/>
      <w:pStyle w:val="Heading6"/>
      <w:suff w:val="nothing"/>
      <w:lvlJc w:val="left"/>
      <w:pPr>
        <w:ind w:left="0" w:firstLine="0"/>
      </w:pPr>
    </w:lvl>
    <w:lvl w:ilvl="6">
      <w:start w:val="1"/>
      <w:numFmt w:val="none"/>
      <w:pStyle w:val="Heading7"/>
      <w:suff w:val="nothing"/>
      <w:lvlJc w:val="left"/>
      <w:pPr>
        <w:ind w:left="0" w:firstLine="0"/>
      </w:pPr>
    </w:lvl>
    <w:lvl w:ilvl="7">
      <w:start w:val="1"/>
      <w:numFmt w:val="none"/>
      <w:pStyle w:val="Heading8"/>
      <w:suff w:val="nothing"/>
      <w:lvlJc w:val="left"/>
      <w:pPr>
        <w:ind w:left="0" w:firstLine="0"/>
      </w:pPr>
    </w:lvl>
    <w:lvl w:ilvl="8">
      <w:start w:val="1"/>
      <w:numFmt w:val="none"/>
      <w:pStyle w:val="Heading9"/>
      <w:suff w:val="nothing"/>
      <w:lvlJc w:val="left"/>
      <w:pPr>
        <w:ind w:left="0" w:firstLine="0"/>
      </w:pPr>
    </w:lvl>
  </w:abstractNum>
  <w:abstractNum w:abstractNumId="33">
    <w:nsid w:val="58C010F4"/>
    <w:multiLevelType w:val="multilevel"/>
    <w:tmpl w:val="DFDE09E2"/>
    <w:lvl w:ilvl="0">
      <w:start w:val="1"/>
      <w:numFmt w:val="lowerLetter"/>
      <w:lvlText w:val="%1)"/>
      <w:lvlJc w:val="left"/>
      <w:pPr>
        <w:tabs>
          <w:tab w:val="num" w:pos="1555"/>
        </w:tabs>
        <w:ind w:left="1555" w:hanging="561"/>
      </w:pPr>
      <w:rPr>
        <w:rFonts w:hint="default"/>
        <w:color w:val="000000"/>
      </w:rPr>
    </w:lvl>
    <w:lvl w:ilvl="1">
      <w:start w:val="1"/>
      <w:numFmt w:val="lowerLetter"/>
      <w:lvlText w:val="%2."/>
      <w:lvlJc w:val="left"/>
      <w:pPr>
        <w:ind w:left="2434" w:hanging="360"/>
      </w:pPr>
      <w:rPr>
        <w:rFonts w:hint="default"/>
      </w:rPr>
    </w:lvl>
    <w:lvl w:ilvl="2">
      <w:start w:val="1"/>
      <w:numFmt w:val="lowerRoman"/>
      <w:lvlText w:val="%3."/>
      <w:lvlJc w:val="right"/>
      <w:pPr>
        <w:ind w:left="3154" w:hanging="180"/>
      </w:pPr>
      <w:rPr>
        <w:rFonts w:hint="default"/>
      </w:rPr>
    </w:lvl>
    <w:lvl w:ilvl="3">
      <w:start w:val="1"/>
      <w:numFmt w:val="decimal"/>
      <w:lvlText w:val="%4."/>
      <w:lvlJc w:val="left"/>
      <w:pPr>
        <w:ind w:left="3874" w:hanging="360"/>
      </w:pPr>
      <w:rPr>
        <w:rFonts w:hint="default"/>
      </w:rPr>
    </w:lvl>
    <w:lvl w:ilvl="4">
      <w:start w:val="1"/>
      <w:numFmt w:val="lowerLetter"/>
      <w:lvlText w:val="%5."/>
      <w:lvlJc w:val="left"/>
      <w:pPr>
        <w:ind w:left="4594" w:hanging="360"/>
      </w:pPr>
      <w:rPr>
        <w:rFonts w:hint="default"/>
      </w:rPr>
    </w:lvl>
    <w:lvl w:ilvl="5">
      <w:start w:val="1"/>
      <w:numFmt w:val="lowerRoman"/>
      <w:lvlText w:val="%6."/>
      <w:lvlJc w:val="right"/>
      <w:pPr>
        <w:ind w:left="5314" w:hanging="180"/>
      </w:pPr>
      <w:rPr>
        <w:rFonts w:hint="default"/>
      </w:rPr>
    </w:lvl>
    <w:lvl w:ilvl="6">
      <w:start w:val="1"/>
      <w:numFmt w:val="decimal"/>
      <w:lvlText w:val="%7."/>
      <w:lvlJc w:val="left"/>
      <w:pPr>
        <w:ind w:left="6034" w:hanging="360"/>
      </w:pPr>
      <w:rPr>
        <w:rFonts w:hint="default"/>
      </w:rPr>
    </w:lvl>
    <w:lvl w:ilvl="7">
      <w:start w:val="1"/>
      <w:numFmt w:val="lowerLetter"/>
      <w:lvlText w:val="%8."/>
      <w:lvlJc w:val="left"/>
      <w:pPr>
        <w:ind w:left="6754" w:hanging="360"/>
      </w:pPr>
      <w:rPr>
        <w:rFonts w:hint="default"/>
      </w:rPr>
    </w:lvl>
    <w:lvl w:ilvl="8">
      <w:start w:val="1"/>
      <w:numFmt w:val="lowerRoman"/>
      <w:lvlText w:val="%9."/>
      <w:lvlJc w:val="right"/>
      <w:pPr>
        <w:ind w:left="7474" w:hanging="180"/>
      </w:pPr>
      <w:rPr>
        <w:rFonts w:hint="default"/>
      </w:rPr>
    </w:lvl>
  </w:abstractNum>
  <w:abstractNum w:abstractNumId="34">
    <w:nsid w:val="5D206610"/>
    <w:multiLevelType w:val="hybridMultilevel"/>
    <w:tmpl w:val="31700046"/>
    <w:lvl w:ilvl="0">
      <w:start w:val="1"/>
      <w:numFmt w:val="lowerLetter"/>
      <w:lvlText w:val="(%1)"/>
      <w:lvlJc w:val="left"/>
      <w:pPr>
        <w:ind w:left="1440" w:hanging="360"/>
      </w:pPr>
      <w:rPr>
        <w:rFonts w:hint="default"/>
        <w:color w:val="00000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61071422"/>
    <w:multiLevelType w:val="hybridMultilevel"/>
    <w:tmpl w:val="59B858D8"/>
    <w:lvl w:ilvl="0">
      <w:start w:val="1"/>
      <w:numFmt w:val="bullet"/>
      <w:pStyle w:val="ClauseBullet1"/>
      <w:lvlText w:val=""/>
      <w:lvlJc w:val="left"/>
      <w:pPr>
        <w:ind w:left="1080" w:hanging="360"/>
      </w:pPr>
      <w:rPr>
        <w:rFonts w:ascii="Symbol" w:hAnsi="Symbol" w:hint="default"/>
        <w:color w:val="00000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642371CD"/>
    <w:multiLevelType w:val="hybridMultilevel"/>
    <w:tmpl w:val="3B76A654"/>
    <w:lvl w:ilvl="0">
      <w:start w:val="1"/>
      <w:numFmt w:val="bullet"/>
      <w:pStyle w:val="subclause3Bullet2"/>
      <w:lvlText w:val=""/>
      <w:lvlJc w:val="left"/>
      <w:pPr>
        <w:ind w:left="3748" w:hanging="360"/>
      </w:pPr>
      <w:rPr>
        <w:rFonts w:ascii="Symbol" w:hAnsi="Symbol" w:hint="default"/>
        <w:color w:val="000000"/>
      </w:rPr>
    </w:lvl>
    <w:lvl w:ilvl="1" w:tentative="1">
      <w:start w:val="1"/>
      <w:numFmt w:val="bullet"/>
      <w:lvlText w:val="o"/>
      <w:lvlJc w:val="left"/>
      <w:pPr>
        <w:ind w:left="4468" w:hanging="360"/>
      </w:pPr>
      <w:rPr>
        <w:rFonts w:ascii="Courier New" w:hAnsi="Courier New" w:cs="Courier New" w:hint="default"/>
      </w:rPr>
    </w:lvl>
    <w:lvl w:ilvl="2" w:tentative="1">
      <w:start w:val="1"/>
      <w:numFmt w:val="bullet"/>
      <w:lvlText w:val=""/>
      <w:lvlJc w:val="left"/>
      <w:pPr>
        <w:ind w:left="5188" w:hanging="360"/>
      </w:pPr>
      <w:rPr>
        <w:rFonts w:ascii="Wingdings" w:hAnsi="Wingdings" w:hint="default"/>
      </w:rPr>
    </w:lvl>
    <w:lvl w:ilvl="3" w:tentative="1">
      <w:start w:val="1"/>
      <w:numFmt w:val="bullet"/>
      <w:lvlText w:val=""/>
      <w:lvlJc w:val="left"/>
      <w:pPr>
        <w:ind w:left="5908" w:hanging="360"/>
      </w:pPr>
      <w:rPr>
        <w:rFonts w:ascii="Symbol" w:hAnsi="Symbol" w:hint="default"/>
      </w:rPr>
    </w:lvl>
    <w:lvl w:ilvl="4" w:tentative="1">
      <w:start w:val="1"/>
      <w:numFmt w:val="bullet"/>
      <w:lvlText w:val="o"/>
      <w:lvlJc w:val="left"/>
      <w:pPr>
        <w:ind w:left="6628" w:hanging="360"/>
      </w:pPr>
      <w:rPr>
        <w:rFonts w:ascii="Courier New" w:hAnsi="Courier New" w:cs="Courier New" w:hint="default"/>
      </w:rPr>
    </w:lvl>
    <w:lvl w:ilvl="5" w:tentative="1">
      <w:start w:val="1"/>
      <w:numFmt w:val="bullet"/>
      <w:lvlText w:val=""/>
      <w:lvlJc w:val="left"/>
      <w:pPr>
        <w:ind w:left="7348" w:hanging="360"/>
      </w:pPr>
      <w:rPr>
        <w:rFonts w:ascii="Wingdings" w:hAnsi="Wingdings" w:hint="default"/>
      </w:rPr>
    </w:lvl>
    <w:lvl w:ilvl="6" w:tentative="1">
      <w:start w:val="1"/>
      <w:numFmt w:val="bullet"/>
      <w:lvlText w:val=""/>
      <w:lvlJc w:val="left"/>
      <w:pPr>
        <w:ind w:left="8068" w:hanging="360"/>
      </w:pPr>
      <w:rPr>
        <w:rFonts w:ascii="Symbol" w:hAnsi="Symbol" w:hint="default"/>
      </w:rPr>
    </w:lvl>
    <w:lvl w:ilvl="7" w:tentative="1">
      <w:start w:val="1"/>
      <w:numFmt w:val="bullet"/>
      <w:lvlText w:val="o"/>
      <w:lvlJc w:val="left"/>
      <w:pPr>
        <w:ind w:left="8788" w:hanging="360"/>
      </w:pPr>
      <w:rPr>
        <w:rFonts w:ascii="Courier New" w:hAnsi="Courier New" w:cs="Courier New" w:hint="default"/>
      </w:rPr>
    </w:lvl>
    <w:lvl w:ilvl="8" w:tentative="1">
      <w:start w:val="1"/>
      <w:numFmt w:val="bullet"/>
      <w:lvlText w:val=""/>
      <w:lvlJc w:val="left"/>
      <w:pPr>
        <w:ind w:left="9508" w:hanging="360"/>
      </w:pPr>
      <w:rPr>
        <w:rFonts w:ascii="Wingdings" w:hAnsi="Wingdings" w:hint="default"/>
      </w:rPr>
    </w:lvl>
  </w:abstractNum>
  <w:abstractNum w:abstractNumId="37">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38">
    <w:nsid w:val="6A14466B"/>
    <w:multiLevelType w:val="hybridMultilevel"/>
    <w:tmpl w:val="2402A666"/>
    <w:lvl w:ilvl="0">
      <w:start w:val="1"/>
      <w:numFmt w:val="bullet"/>
      <w:pStyle w:val="BulletList1"/>
      <w:lvlText w:val="·"/>
      <w:lvlJc w:val="left"/>
      <w:pPr>
        <w:tabs>
          <w:tab w:val="num" w:pos="360"/>
        </w:tabs>
        <w:ind w:left="360" w:hanging="360"/>
      </w:pPr>
      <w:rPr>
        <w:rFonts w:ascii="Symbol" w:hAnsi="Symbol" w:hint="default"/>
        <w:color w:val="000000"/>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6ADF4683"/>
    <w:multiLevelType w:val="multilevel"/>
    <w:tmpl w:val="85385F9C"/>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color w:val="000000"/>
      </w:rPr>
    </w:lvl>
    <w:lvl w:ilvl="2">
      <w:start w:val="1"/>
      <w:numFmt w:val="none"/>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77165943"/>
    <w:multiLevelType w:val="hybridMultilevel"/>
    <w:tmpl w:val="2E2E02D8"/>
    <w:lvl w:ilvl="0">
      <w:start w:val="1"/>
      <w:numFmt w:val="bullet"/>
      <w:lvlText w:val=""/>
      <w:lvlJc w:val="left"/>
      <w:pPr>
        <w:ind w:left="720" w:hanging="360"/>
      </w:pPr>
      <w:rPr>
        <w:rFonts w:ascii="Symbol" w:hAnsi="Symbol" w:hint="default"/>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77D61255"/>
    <w:multiLevelType w:val="multilevel"/>
    <w:tmpl w:val="A468D63A"/>
    <w:lvl w:ilvl="0">
      <w:start w:val="1"/>
      <w:numFmt w:val="decimal"/>
      <w:lvlText w:val="%1."/>
      <w:lvlJc w:val="left"/>
      <w:pPr>
        <w:tabs>
          <w:tab w:val="num" w:pos="720"/>
        </w:tabs>
        <w:ind w:left="720" w:hanging="720"/>
      </w:pPr>
      <w:rPr>
        <w:b/>
        <w:i w:val="0"/>
        <w:caps/>
        <w:color w:val="000000"/>
        <w:sz w:val="20"/>
      </w:rPr>
    </w:lvl>
    <w:lvl w:ilvl="1">
      <w:start w:val="1"/>
      <w:numFmt w:val="decimal"/>
      <w:lvlText w:val="%1.%2"/>
      <w:lvlJc w:val="left"/>
      <w:pPr>
        <w:tabs>
          <w:tab w:val="num" w:pos="720"/>
        </w:tabs>
        <w:ind w:left="720" w:hanging="720"/>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43">
    <w:nsid w:val="78C31C79"/>
    <w:multiLevelType w:val="hybridMultilevel"/>
    <w:tmpl w:val="0BBA56BC"/>
    <w:lvl w:ilvl="0">
      <w:start w:val="1"/>
      <w:numFmt w:val="decimal"/>
      <w:lvlText w:val="%1."/>
      <w:lvlJc w:val="left"/>
      <w:pPr>
        <w:ind w:left="1440" w:hanging="360"/>
      </w:pPr>
      <w:rPr>
        <w:color w:val="00000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4">
    <w:nsid w:val="7DB5644F"/>
    <w:multiLevelType w:val="hybridMultilevel"/>
    <w:tmpl w:val="8BCC9C08"/>
    <w:lvl w:ilvl="0">
      <w:start w:val="1"/>
      <w:numFmt w:val="bullet"/>
      <w:pStyle w:val="BulletList3"/>
      <w:lvlText w:val=""/>
      <w:lvlJc w:val="left"/>
      <w:pPr>
        <w:tabs>
          <w:tab w:val="num" w:pos="1945"/>
        </w:tabs>
        <w:ind w:left="1945" w:hanging="357"/>
      </w:pPr>
      <w:rPr>
        <w:rFonts w:ascii="Symbol" w:hAnsi="Symbol" w:hint="default"/>
        <w:color w:val="00000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7DB56450"/>
    <w:multiLevelType w:val="multilevel"/>
    <w:tmpl w:val="B5EA651E"/>
    <w:lvl w:ilvl="0">
      <w:start w:val="1"/>
      <w:numFmt w:val="decimal"/>
      <w:pStyle w:val="Schedule"/>
      <w:lvlText w:val="Schedule %1"/>
      <w:lvlJc w:val="left"/>
      <w:pPr>
        <w:ind w:left="360" w:hanging="360"/>
      </w:pPr>
      <w:rPr>
        <w:rFonts w:hint="default"/>
        <w:color w:val="000000"/>
      </w:rPr>
    </w:lvl>
    <w:lvl w:ilvl="1">
      <w:start w:val="0"/>
      <w:numFmt w:val="none"/>
      <w:lvlRestart w:val="0"/>
      <w:suff w:val="nothing"/>
      <w:lvlJc w:val="left"/>
      <w:pPr>
        <w:tabs>
          <w:tab w:val="num" w:pos="0"/>
        </w:tabs>
        <w:ind w:left="0" w:firstLine="0"/>
      </w:pPr>
    </w:lvl>
    <w:lvl w:ilvl="2">
      <w:start w:val="0"/>
      <w:numFmt w:val="none"/>
      <w:lvlRestart w:val="0"/>
      <w:suff w:val="nothing"/>
      <w:lvlJc w:val="left"/>
      <w:pPr>
        <w:tabs>
          <w:tab w:val="num" w:pos="0"/>
        </w:tabs>
        <w:ind w:left="0" w:firstLine="0"/>
      </w:pPr>
    </w:lvl>
    <w:lvl w:ilvl="3">
      <w:start w:val="0"/>
      <w:numFmt w:val="none"/>
      <w:lvlRestart w:val="0"/>
      <w:suff w:val="nothing"/>
      <w:lvlJc w:val="left"/>
      <w:pPr>
        <w:tabs>
          <w:tab w:val="num" w:pos="0"/>
        </w:tabs>
        <w:ind w:left="0" w:firstLine="0"/>
      </w:pPr>
    </w:lvl>
    <w:lvl w:ilvl="4">
      <w:start w:val="0"/>
      <w:numFmt w:val="none"/>
      <w:lvlRestart w:val="0"/>
      <w:suff w:val="nothing"/>
      <w:lvlJc w:val="left"/>
      <w:pPr>
        <w:tabs>
          <w:tab w:val="num" w:pos="0"/>
        </w:tabs>
        <w:ind w:left="0" w:firstLine="0"/>
      </w:pPr>
    </w:lvl>
    <w:lvl w:ilvl="5">
      <w:start w:val="0"/>
      <w:numFmt w:val="none"/>
      <w:lvlRestart w:val="0"/>
      <w:suff w:val="nothing"/>
      <w:lvlJc w:val="left"/>
      <w:pPr>
        <w:tabs>
          <w:tab w:val="num" w:pos="0"/>
        </w:tabs>
        <w:ind w:left="0" w:firstLine="0"/>
      </w:pPr>
    </w:lvl>
    <w:lvl w:ilvl="6">
      <w:start w:val="0"/>
      <w:numFmt w:val="none"/>
      <w:lvlRestart w:val="0"/>
      <w:suff w:val="nothing"/>
      <w:lvlJc w:val="left"/>
      <w:pPr>
        <w:tabs>
          <w:tab w:val="num" w:pos="0"/>
        </w:tabs>
        <w:ind w:left="0" w:firstLine="0"/>
      </w:pPr>
    </w:lvl>
    <w:lvl w:ilvl="7">
      <w:start w:val="0"/>
      <w:numFmt w:val="none"/>
      <w:lvlRestart w:val="0"/>
      <w:suff w:val="nothing"/>
      <w:lvlJc w:val="left"/>
      <w:pPr>
        <w:tabs>
          <w:tab w:val="num" w:pos="0"/>
        </w:tabs>
        <w:ind w:left="0" w:firstLine="0"/>
      </w:pPr>
    </w:lvl>
    <w:lvl w:ilvl="8">
      <w:start w:val="0"/>
      <w:numFmt w:val="none"/>
      <w:lvlRestart w:val="0"/>
      <w:suff w:val="nothing"/>
      <w:lvlJc w:val="left"/>
      <w:pPr>
        <w:tabs>
          <w:tab w:val="num" w:pos="0"/>
        </w:tabs>
        <w:ind w:left="0" w:firstLine="0"/>
      </w:pPr>
    </w:lvl>
  </w:abstractNum>
  <w:abstractNum w:abstractNumId="46">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start w:val="0"/>
      <w:numFmt w:val="none"/>
      <w:lvlRestart w:val="0"/>
      <w:suff w:val="nothing"/>
      <w:lvlJc w:val="left"/>
      <w:pPr>
        <w:tabs>
          <w:tab w:val="num" w:pos="0"/>
        </w:tabs>
        <w:ind w:left="0" w:firstLine="0"/>
      </w:pPr>
    </w:lvl>
    <w:lvl w:ilvl="2">
      <w:start w:val="0"/>
      <w:numFmt w:val="none"/>
      <w:lvlRestart w:val="0"/>
      <w:suff w:val="nothing"/>
      <w:lvlJc w:val="left"/>
      <w:pPr>
        <w:tabs>
          <w:tab w:val="num" w:pos="0"/>
        </w:tabs>
        <w:ind w:left="0" w:firstLine="0"/>
      </w:pPr>
    </w:lvl>
    <w:lvl w:ilvl="3">
      <w:start w:val="0"/>
      <w:numFmt w:val="none"/>
      <w:lvlRestart w:val="0"/>
      <w:suff w:val="nothing"/>
      <w:lvlJc w:val="left"/>
      <w:pPr>
        <w:tabs>
          <w:tab w:val="num" w:pos="0"/>
        </w:tabs>
        <w:ind w:left="0" w:firstLine="0"/>
      </w:pPr>
    </w:lvl>
    <w:lvl w:ilvl="4">
      <w:start w:val="0"/>
      <w:numFmt w:val="none"/>
      <w:lvlRestart w:val="0"/>
      <w:suff w:val="nothing"/>
      <w:lvlJc w:val="left"/>
      <w:pPr>
        <w:tabs>
          <w:tab w:val="num" w:pos="0"/>
        </w:tabs>
        <w:ind w:left="0" w:firstLine="0"/>
      </w:pPr>
    </w:lvl>
    <w:lvl w:ilvl="5">
      <w:start w:val="0"/>
      <w:numFmt w:val="none"/>
      <w:lvlRestart w:val="0"/>
      <w:suff w:val="nothing"/>
      <w:lvlJc w:val="left"/>
      <w:pPr>
        <w:tabs>
          <w:tab w:val="num" w:pos="0"/>
        </w:tabs>
        <w:ind w:left="0" w:firstLine="0"/>
      </w:pPr>
    </w:lvl>
    <w:lvl w:ilvl="6">
      <w:start w:val="0"/>
      <w:numFmt w:val="none"/>
      <w:lvlRestart w:val="0"/>
      <w:suff w:val="nothing"/>
      <w:lvlJc w:val="left"/>
      <w:pPr>
        <w:tabs>
          <w:tab w:val="num" w:pos="0"/>
        </w:tabs>
        <w:ind w:left="0" w:firstLine="0"/>
      </w:pPr>
    </w:lvl>
    <w:lvl w:ilvl="7">
      <w:start w:val="0"/>
      <w:numFmt w:val="none"/>
      <w:lvlRestart w:val="0"/>
      <w:suff w:val="nothing"/>
      <w:lvlJc w:val="left"/>
      <w:pPr>
        <w:tabs>
          <w:tab w:val="num" w:pos="0"/>
        </w:tabs>
        <w:ind w:left="0" w:firstLine="0"/>
      </w:pPr>
    </w:lvl>
    <w:lvl w:ilvl="8">
      <w:start w:val="0"/>
      <w:numFmt w:val="none"/>
      <w:lvlRestart w:val="0"/>
      <w:suff w:val="nothing"/>
      <w:lvlJc w:val="left"/>
      <w:pPr>
        <w:tabs>
          <w:tab w:val="num" w:pos="0"/>
        </w:tabs>
        <w:ind w:left="0" w:firstLine="0"/>
      </w:pPr>
    </w:lvl>
  </w:abstractNum>
  <w:abstractNum w:abstractNumId="47">
    <w:nsid w:val="7DB56452"/>
    <w:multiLevelType w:val="multilevel"/>
    <w:tmpl w:val="7DB56451"/>
    <w:numStyleLink w:val="ScheduleListStyle"/>
    <w:lvl w:ilvl="0">
      <w:start w:val="1"/>
      <w:numFmt w:val="decimal"/>
      <w:pStyle w:val="Schedule"/>
      <w:lvlText w:val="Schedule %1"/>
      <w:lvlJc w:val="left"/>
      <w:pPr>
        <w:tabs>
          <w:tab w:val="num" w:pos="0"/>
        </w:tabs>
        <w:ind w:left="360" w:hanging="360"/>
      </w:pPr>
      <w:rPr>
        <w:rFonts w:hint="default"/>
        <w:color w:val="000000"/>
      </w:rPr>
    </w:lvl>
    <w:lvl w:ilvl="1">
      <w:start w:val="0"/>
      <w:numFmt w:val="none"/>
      <w:lvlRestart w:val="0"/>
      <w:suff w:val="nothing"/>
      <w:lvlJc w:val="left"/>
      <w:pPr>
        <w:tabs>
          <w:tab w:val="num" w:pos="0"/>
        </w:tabs>
        <w:ind w:left="0" w:firstLine="0"/>
      </w:pPr>
    </w:lvl>
    <w:lvl w:ilvl="2">
      <w:start w:val="0"/>
      <w:numFmt w:val="none"/>
      <w:lvlRestart w:val="0"/>
      <w:suff w:val="nothing"/>
      <w:lvlJc w:val="left"/>
      <w:pPr>
        <w:tabs>
          <w:tab w:val="num" w:pos="0"/>
        </w:tabs>
        <w:ind w:left="0" w:firstLine="0"/>
      </w:pPr>
    </w:lvl>
    <w:lvl w:ilvl="3">
      <w:start w:val="0"/>
      <w:numFmt w:val="none"/>
      <w:lvlRestart w:val="0"/>
      <w:suff w:val="nothing"/>
      <w:lvlJc w:val="left"/>
      <w:pPr>
        <w:tabs>
          <w:tab w:val="num" w:pos="0"/>
        </w:tabs>
        <w:ind w:left="0" w:firstLine="0"/>
      </w:pPr>
    </w:lvl>
    <w:lvl w:ilvl="4">
      <w:start w:val="0"/>
      <w:numFmt w:val="none"/>
      <w:lvlRestart w:val="0"/>
      <w:suff w:val="nothing"/>
      <w:lvlJc w:val="left"/>
      <w:pPr>
        <w:tabs>
          <w:tab w:val="num" w:pos="0"/>
        </w:tabs>
        <w:ind w:left="0" w:firstLine="0"/>
      </w:pPr>
    </w:lvl>
    <w:lvl w:ilvl="5">
      <w:start w:val="0"/>
      <w:numFmt w:val="none"/>
      <w:lvlRestart w:val="0"/>
      <w:suff w:val="nothing"/>
      <w:lvlJc w:val="left"/>
      <w:pPr>
        <w:tabs>
          <w:tab w:val="num" w:pos="0"/>
        </w:tabs>
        <w:ind w:left="0" w:firstLine="0"/>
      </w:pPr>
    </w:lvl>
    <w:lvl w:ilvl="6">
      <w:start w:val="0"/>
      <w:numFmt w:val="none"/>
      <w:lvlRestart w:val="0"/>
      <w:suff w:val="nothing"/>
      <w:lvlJc w:val="left"/>
      <w:pPr>
        <w:tabs>
          <w:tab w:val="num" w:pos="0"/>
        </w:tabs>
        <w:ind w:left="0" w:firstLine="0"/>
      </w:pPr>
    </w:lvl>
    <w:lvl w:ilvl="7">
      <w:start w:val="0"/>
      <w:numFmt w:val="none"/>
      <w:lvlRestart w:val="0"/>
      <w:suff w:val="nothing"/>
      <w:lvlJc w:val="left"/>
      <w:pPr>
        <w:tabs>
          <w:tab w:val="num" w:pos="0"/>
        </w:tabs>
        <w:ind w:left="0" w:firstLine="0"/>
      </w:pPr>
    </w:lvl>
    <w:lvl w:ilvl="8">
      <w:start w:val="0"/>
      <w:numFmt w:val="none"/>
      <w:lvlRestart w:val="0"/>
      <w:suff w:val="nothing"/>
      <w:lvlJc w:val="left"/>
      <w:pPr>
        <w:tabs>
          <w:tab w:val="num" w:pos="0"/>
        </w:tabs>
        <w:ind w:left="0" w:firstLine="0"/>
      </w:pPr>
    </w:lvl>
  </w:abstractNum>
  <w:abstractNum w:abstractNumId="48">
    <w:nsid w:val="7DB56453"/>
    <w:multiLevelType w:val="multilevel"/>
    <w:tmpl w:val="7DB56451"/>
    <w:numStyleLink w:val="ScheduleListStyle"/>
    <w:lvl w:ilvl="0">
      <w:start w:val="1"/>
      <w:numFmt w:val="decimal"/>
      <w:lvlText w:val="Schedule %1"/>
      <w:lvlJc w:val="left"/>
      <w:pPr>
        <w:tabs>
          <w:tab w:val="num" w:pos="0"/>
        </w:tabs>
        <w:ind w:left="360" w:hanging="360"/>
      </w:pPr>
      <w:rPr>
        <w:rFonts w:hint="default"/>
        <w:color w:val="000000"/>
      </w:rPr>
    </w:lvl>
    <w:lvl w:ilvl="1">
      <w:start w:val="0"/>
      <w:numFmt w:val="none"/>
      <w:lvlRestart w:val="0"/>
      <w:suff w:val="nothing"/>
      <w:lvlJc w:val="left"/>
      <w:pPr>
        <w:tabs>
          <w:tab w:val="num" w:pos="0"/>
        </w:tabs>
        <w:ind w:left="0" w:firstLine="0"/>
      </w:pPr>
    </w:lvl>
    <w:lvl w:ilvl="2">
      <w:start w:val="0"/>
      <w:numFmt w:val="none"/>
      <w:lvlRestart w:val="0"/>
      <w:suff w:val="nothing"/>
      <w:lvlJc w:val="left"/>
      <w:pPr>
        <w:tabs>
          <w:tab w:val="num" w:pos="0"/>
        </w:tabs>
        <w:ind w:left="0" w:firstLine="0"/>
      </w:pPr>
    </w:lvl>
    <w:lvl w:ilvl="3">
      <w:start w:val="0"/>
      <w:numFmt w:val="none"/>
      <w:lvlRestart w:val="0"/>
      <w:suff w:val="nothing"/>
      <w:lvlJc w:val="left"/>
      <w:pPr>
        <w:tabs>
          <w:tab w:val="num" w:pos="0"/>
        </w:tabs>
        <w:ind w:left="0" w:firstLine="0"/>
      </w:pPr>
    </w:lvl>
    <w:lvl w:ilvl="4">
      <w:start w:val="0"/>
      <w:numFmt w:val="none"/>
      <w:lvlRestart w:val="0"/>
      <w:suff w:val="nothing"/>
      <w:lvlJc w:val="left"/>
      <w:pPr>
        <w:tabs>
          <w:tab w:val="num" w:pos="0"/>
        </w:tabs>
        <w:ind w:left="0" w:firstLine="0"/>
      </w:pPr>
    </w:lvl>
    <w:lvl w:ilvl="5">
      <w:start w:val="0"/>
      <w:numFmt w:val="none"/>
      <w:lvlRestart w:val="0"/>
      <w:suff w:val="nothing"/>
      <w:lvlJc w:val="left"/>
      <w:pPr>
        <w:tabs>
          <w:tab w:val="num" w:pos="0"/>
        </w:tabs>
        <w:ind w:left="0" w:firstLine="0"/>
      </w:pPr>
    </w:lvl>
    <w:lvl w:ilvl="6">
      <w:start w:val="0"/>
      <w:numFmt w:val="none"/>
      <w:lvlRestart w:val="0"/>
      <w:suff w:val="nothing"/>
      <w:lvlJc w:val="left"/>
      <w:pPr>
        <w:tabs>
          <w:tab w:val="num" w:pos="0"/>
        </w:tabs>
        <w:ind w:left="0" w:firstLine="0"/>
      </w:pPr>
    </w:lvl>
    <w:lvl w:ilvl="7">
      <w:start w:val="0"/>
      <w:numFmt w:val="none"/>
      <w:lvlRestart w:val="0"/>
      <w:suff w:val="nothing"/>
      <w:lvlJc w:val="left"/>
      <w:pPr>
        <w:tabs>
          <w:tab w:val="num" w:pos="0"/>
        </w:tabs>
        <w:ind w:left="0" w:firstLine="0"/>
      </w:pPr>
    </w:lvl>
    <w:lvl w:ilvl="8">
      <w:start w:val="0"/>
      <w:numFmt w:val="none"/>
      <w:lvlRestart w:val="0"/>
      <w:suff w:val="nothing"/>
      <w:lvlJc w:val="left"/>
      <w:pPr>
        <w:tabs>
          <w:tab w:val="num" w:pos="0"/>
        </w:tabs>
        <w:ind w:left="0" w:firstLine="0"/>
      </w:pPr>
    </w:lvl>
  </w:abstractNum>
  <w:abstractNum w:abstractNumId="49">
    <w:nsid w:val="7DB56454"/>
    <w:multiLevelType w:val="multilevel"/>
    <w:tmpl w:val="B5EA651E"/>
    <w:lvl w:ilvl="0">
      <w:start w:val="1"/>
      <w:numFmt w:val="decimal"/>
      <w:pStyle w:val="Part"/>
      <w:lvlText w:val="Part %1"/>
      <w:lvlJc w:val="left"/>
      <w:pPr>
        <w:tabs>
          <w:tab w:val="num" w:pos="0"/>
        </w:tabs>
        <w:ind w:left="357" w:hanging="357"/>
      </w:pPr>
      <w:rPr>
        <w:rFonts w:hint="default"/>
        <w:color w:val="000000"/>
      </w:rPr>
    </w:lvl>
    <w:lvl w:ilvl="1">
      <w:start w:val="0"/>
      <w:numFmt w:val="none"/>
      <w:lvlRestart w:val="0"/>
      <w:suff w:val="nothing"/>
      <w:lvlJc w:val="left"/>
      <w:pPr>
        <w:tabs>
          <w:tab w:val="num" w:pos="0"/>
        </w:tabs>
        <w:ind w:left="0" w:firstLine="0"/>
      </w:pPr>
    </w:lvl>
    <w:lvl w:ilvl="2">
      <w:start w:val="0"/>
      <w:numFmt w:val="none"/>
      <w:lvlRestart w:val="0"/>
      <w:suff w:val="nothing"/>
      <w:lvlJc w:val="left"/>
      <w:pPr>
        <w:tabs>
          <w:tab w:val="num" w:pos="0"/>
        </w:tabs>
        <w:ind w:left="0" w:firstLine="0"/>
      </w:pPr>
    </w:lvl>
    <w:lvl w:ilvl="3">
      <w:start w:val="0"/>
      <w:numFmt w:val="none"/>
      <w:lvlRestart w:val="0"/>
      <w:suff w:val="nothing"/>
      <w:lvlJc w:val="left"/>
      <w:pPr>
        <w:tabs>
          <w:tab w:val="num" w:pos="0"/>
        </w:tabs>
        <w:ind w:left="0" w:firstLine="0"/>
      </w:pPr>
    </w:lvl>
    <w:lvl w:ilvl="4">
      <w:start w:val="0"/>
      <w:numFmt w:val="none"/>
      <w:lvlRestart w:val="0"/>
      <w:suff w:val="nothing"/>
      <w:lvlJc w:val="left"/>
      <w:pPr>
        <w:tabs>
          <w:tab w:val="num" w:pos="0"/>
        </w:tabs>
        <w:ind w:left="0" w:firstLine="0"/>
      </w:pPr>
    </w:lvl>
    <w:lvl w:ilvl="5">
      <w:start w:val="0"/>
      <w:numFmt w:val="none"/>
      <w:lvlRestart w:val="0"/>
      <w:suff w:val="nothing"/>
      <w:lvlJc w:val="left"/>
      <w:pPr>
        <w:tabs>
          <w:tab w:val="num" w:pos="0"/>
        </w:tabs>
        <w:ind w:left="0" w:firstLine="0"/>
      </w:pPr>
    </w:lvl>
    <w:lvl w:ilvl="6">
      <w:start w:val="0"/>
      <w:numFmt w:val="none"/>
      <w:lvlRestart w:val="0"/>
      <w:suff w:val="nothing"/>
      <w:lvlJc w:val="left"/>
      <w:pPr>
        <w:tabs>
          <w:tab w:val="num" w:pos="0"/>
        </w:tabs>
        <w:ind w:left="0" w:firstLine="0"/>
      </w:pPr>
    </w:lvl>
    <w:lvl w:ilvl="7">
      <w:start w:val="0"/>
      <w:numFmt w:val="none"/>
      <w:lvlRestart w:val="0"/>
      <w:suff w:val="nothing"/>
      <w:lvlJc w:val="left"/>
      <w:pPr>
        <w:tabs>
          <w:tab w:val="num" w:pos="0"/>
        </w:tabs>
        <w:ind w:left="0" w:firstLine="0"/>
      </w:pPr>
    </w:lvl>
    <w:lvl w:ilvl="8">
      <w:start w:val="0"/>
      <w:numFmt w:val="none"/>
      <w:lvlRestart w:val="0"/>
      <w:suff w:val="nothing"/>
      <w:lvlJc w:val="left"/>
      <w:pPr>
        <w:tabs>
          <w:tab w:val="num" w:pos="0"/>
        </w:tabs>
        <w:ind w:left="0" w:firstLine="0"/>
      </w:pPr>
    </w:lvl>
  </w:abstractNum>
  <w:abstractNum w:abstractNumId="50">
    <w:nsid w:val="7DB56455"/>
    <w:multiLevelType w:val="multilevel"/>
    <w:tmpl w:val="7DB56455"/>
    <w:styleLink w:val="PartListStyle"/>
    <w:lvl w:ilvl="0">
      <w:start w:val="1"/>
      <w:numFmt w:val="decimal"/>
      <w:lvlText w:val="Part %1"/>
      <w:lvlJc w:val="left"/>
      <w:pPr>
        <w:tabs>
          <w:tab w:val="num" w:pos="0"/>
        </w:tabs>
        <w:ind w:left="357" w:hanging="357"/>
      </w:pPr>
      <w:rPr>
        <w:rFonts w:hint="default"/>
        <w:color w:val="000000"/>
      </w:rPr>
    </w:lvl>
    <w:lvl w:ilvl="1">
      <w:start w:val="0"/>
      <w:numFmt w:val="none"/>
      <w:lvlRestart w:val="0"/>
      <w:suff w:val="nothing"/>
      <w:lvlJc w:val="left"/>
      <w:pPr>
        <w:tabs>
          <w:tab w:val="num" w:pos="0"/>
        </w:tabs>
        <w:ind w:left="0" w:firstLine="0"/>
      </w:pPr>
    </w:lvl>
    <w:lvl w:ilvl="2">
      <w:start w:val="0"/>
      <w:numFmt w:val="none"/>
      <w:lvlRestart w:val="0"/>
      <w:suff w:val="nothing"/>
      <w:lvlJc w:val="left"/>
      <w:pPr>
        <w:tabs>
          <w:tab w:val="num" w:pos="0"/>
        </w:tabs>
        <w:ind w:left="0" w:firstLine="0"/>
      </w:pPr>
    </w:lvl>
    <w:lvl w:ilvl="3">
      <w:start w:val="0"/>
      <w:numFmt w:val="none"/>
      <w:lvlRestart w:val="0"/>
      <w:suff w:val="nothing"/>
      <w:lvlJc w:val="left"/>
      <w:pPr>
        <w:tabs>
          <w:tab w:val="num" w:pos="0"/>
        </w:tabs>
        <w:ind w:left="0" w:firstLine="0"/>
      </w:pPr>
    </w:lvl>
    <w:lvl w:ilvl="4">
      <w:start w:val="0"/>
      <w:numFmt w:val="none"/>
      <w:lvlRestart w:val="0"/>
      <w:suff w:val="nothing"/>
      <w:lvlJc w:val="left"/>
      <w:pPr>
        <w:tabs>
          <w:tab w:val="num" w:pos="0"/>
        </w:tabs>
        <w:ind w:left="0" w:firstLine="0"/>
      </w:pPr>
    </w:lvl>
    <w:lvl w:ilvl="5">
      <w:start w:val="0"/>
      <w:numFmt w:val="none"/>
      <w:lvlRestart w:val="0"/>
      <w:suff w:val="nothing"/>
      <w:lvlJc w:val="left"/>
      <w:pPr>
        <w:tabs>
          <w:tab w:val="num" w:pos="0"/>
        </w:tabs>
        <w:ind w:left="0" w:firstLine="0"/>
      </w:pPr>
    </w:lvl>
    <w:lvl w:ilvl="6">
      <w:start w:val="0"/>
      <w:numFmt w:val="none"/>
      <w:lvlRestart w:val="0"/>
      <w:suff w:val="nothing"/>
      <w:lvlJc w:val="left"/>
      <w:pPr>
        <w:tabs>
          <w:tab w:val="num" w:pos="0"/>
        </w:tabs>
        <w:ind w:left="0" w:firstLine="0"/>
      </w:pPr>
    </w:lvl>
    <w:lvl w:ilvl="7">
      <w:start w:val="0"/>
      <w:numFmt w:val="none"/>
      <w:lvlRestart w:val="0"/>
      <w:suff w:val="nothing"/>
      <w:lvlJc w:val="left"/>
      <w:pPr>
        <w:tabs>
          <w:tab w:val="num" w:pos="0"/>
        </w:tabs>
        <w:ind w:left="0" w:firstLine="0"/>
      </w:pPr>
    </w:lvl>
    <w:lvl w:ilvl="8">
      <w:start w:val="0"/>
      <w:numFmt w:val="none"/>
      <w:lvlRestart w:val="0"/>
      <w:suff w:val="nothing"/>
      <w:lvlJc w:val="left"/>
      <w:pPr>
        <w:tabs>
          <w:tab w:val="num" w:pos="0"/>
        </w:tabs>
        <w:ind w:left="0" w:firstLine="0"/>
      </w:pPr>
    </w:lvl>
  </w:abstractNum>
  <w:abstractNum w:abstractNumId="51">
    <w:nsid w:val="7DB56456"/>
    <w:multiLevelType w:val="multilevel"/>
    <w:tmpl w:val="7DB56455"/>
    <w:numStyleLink w:val="PartListStyle"/>
    <w:lvl w:ilvl="0">
      <w:start w:val="1"/>
      <w:numFmt w:val="decimal"/>
      <w:pStyle w:val="Part"/>
      <w:lvlText w:val="Part %1"/>
      <w:lvlJc w:val="left"/>
      <w:pPr>
        <w:tabs>
          <w:tab w:val="num" w:pos="0"/>
        </w:tabs>
        <w:ind w:left="357" w:hanging="357"/>
      </w:pPr>
      <w:rPr>
        <w:rFonts w:hint="default"/>
        <w:color w:val="000000"/>
      </w:rPr>
    </w:lvl>
    <w:lvl w:ilvl="1">
      <w:start w:val="0"/>
      <w:numFmt w:val="none"/>
      <w:lvlRestart w:val="0"/>
      <w:suff w:val="nothing"/>
      <w:lvlJc w:val="left"/>
      <w:pPr>
        <w:tabs>
          <w:tab w:val="num" w:pos="0"/>
        </w:tabs>
        <w:ind w:left="0" w:firstLine="0"/>
      </w:pPr>
    </w:lvl>
    <w:lvl w:ilvl="2">
      <w:start w:val="0"/>
      <w:numFmt w:val="none"/>
      <w:lvlRestart w:val="0"/>
      <w:suff w:val="nothing"/>
      <w:lvlJc w:val="left"/>
      <w:pPr>
        <w:tabs>
          <w:tab w:val="num" w:pos="0"/>
        </w:tabs>
        <w:ind w:left="0" w:firstLine="0"/>
      </w:pPr>
    </w:lvl>
    <w:lvl w:ilvl="3">
      <w:start w:val="0"/>
      <w:numFmt w:val="none"/>
      <w:lvlRestart w:val="0"/>
      <w:suff w:val="nothing"/>
      <w:lvlJc w:val="left"/>
      <w:pPr>
        <w:tabs>
          <w:tab w:val="num" w:pos="0"/>
        </w:tabs>
        <w:ind w:left="0" w:firstLine="0"/>
      </w:pPr>
    </w:lvl>
    <w:lvl w:ilvl="4">
      <w:start w:val="0"/>
      <w:numFmt w:val="none"/>
      <w:lvlRestart w:val="0"/>
      <w:suff w:val="nothing"/>
      <w:lvlJc w:val="left"/>
      <w:pPr>
        <w:tabs>
          <w:tab w:val="num" w:pos="0"/>
        </w:tabs>
        <w:ind w:left="0" w:firstLine="0"/>
      </w:pPr>
    </w:lvl>
    <w:lvl w:ilvl="5">
      <w:start w:val="0"/>
      <w:numFmt w:val="none"/>
      <w:lvlRestart w:val="0"/>
      <w:suff w:val="nothing"/>
      <w:lvlJc w:val="left"/>
      <w:pPr>
        <w:tabs>
          <w:tab w:val="num" w:pos="0"/>
        </w:tabs>
        <w:ind w:left="0" w:firstLine="0"/>
      </w:pPr>
    </w:lvl>
    <w:lvl w:ilvl="6">
      <w:start w:val="0"/>
      <w:numFmt w:val="none"/>
      <w:lvlRestart w:val="0"/>
      <w:suff w:val="nothing"/>
      <w:lvlJc w:val="left"/>
      <w:pPr>
        <w:tabs>
          <w:tab w:val="num" w:pos="0"/>
        </w:tabs>
        <w:ind w:left="0" w:firstLine="0"/>
      </w:pPr>
    </w:lvl>
    <w:lvl w:ilvl="7">
      <w:start w:val="0"/>
      <w:numFmt w:val="none"/>
      <w:lvlRestart w:val="0"/>
      <w:suff w:val="nothing"/>
      <w:lvlJc w:val="left"/>
      <w:pPr>
        <w:tabs>
          <w:tab w:val="num" w:pos="0"/>
        </w:tabs>
        <w:ind w:left="0" w:firstLine="0"/>
      </w:pPr>
    </w:lvl>
    <w:lvl w:ilvl="8">
      <w:start w:val="0"/>
      <w:numFmt w:val="none"/>
      <w:lvlRestart w:val="0"/>
      <w:suff w:val="nothing"/>
      <w:lvlJc w:val="left"/>
      <w:pPr>
        <w:tabs>
          <w:tab w:val="num" w:pos="0"/>
        </w:tabs>
        <w:ind w:left="0" w:firstLine="0"/>
      </w:pPr>
    </w:lvl>
  </w:abstractNum>
  <w:abstractNum w:abstractNumId="52">
    <w:nsid w:val="7DB56457"/>
    <w:multiLevelType w:val="multilevel"/>
    <w:tmpl w:val="7DB56455"/>
    <w:numStyleLink w:val="PartListStyle"/>
    <w:lvl w:ilvl="0">
      <w:start w:val="1"/>
      <w:numFmt w:val="decimal"/>
      <w:lvlText w:val="Part %1"/>
      <w:lvlJc w:val="left"/>
      <w:pPr>
        <w:tabs>
          <w:tab w:val="num" w:pos="0"/>
        </w:tabs>
        <w:ind w:left="357" w:hanging="357"/>
      </w:pPr>
      <w:rPr>
        <w:rFonts w:hint="default"/>
        <w:color w:val="000000"/>
      </w:rPr>
    </w:lvl>
    <w:lvl w:ilvl="1">
      <w:start w:val="0"/>
      <w:numFmt w:val="none"/>
      <w:lvlRestart w:val="0"/>
      <w:suff w:val="nothing"/>
      <w:lvlJc w:val="left"/>
      <w:pPr>
        <w:tabs>
          <w:tab w:val="num" w:pos="0"/>
        </w:tabs>
        <w:ind w:left="0" w:firstLine="0"/>
      </w:pPr>
    </w:lvl>
    <w:lvl w:ilvl="2">
      <w:start w:val="0"/>
      <w:numFmt w:val="none"/>
      <w:lvlRestart w:val="0"/>
      <w:suff w:val="nothing"/>
      <w:lvlJc w:val="left"/>
      <w:pPr>
        <w:tabs>
          <w:tab w:val="num" w:pos="0"/>
        </w:tabs>
        <w:ind w:left="0" w:firstLine="0"/>
      </w:pPr>
    </w:lvl>
    <w:lvl w:ilvl="3">
      <w:start w:val="0"/>
      <w:numFmt w:val="none"/>
      <w:lvlRestart w:val="0"/>
      <w:suff w:val="nothing"/>
      <w:lvlJc w:val="left"/>
      <w:pPr>
        <w:tabs>
          <w:tab w:val="num" w:pos="0"/>
        </w:tabs>
        <w:ind w:left="0" w:firstLine="0"/>
      </w:pPr>
    </w:lvl>
    <w:lvl w:ilvl="4">
      <w:start w:val="0"/>
      <w:numFmt w:val="none"/>
      <w:lvlRestart w:val="0"/>
      <w:suff w:val="nothing"/>
      <w:lvlJc w:val="left"/>
      <w:pPr>
        <w:tabs>
          <w:tab w:val="num" w:pos="0"/>
        </w:tabs>
        <w:ind w:left="0" w:firstLine="0"/>
      </w:pPr>
    </w:lvl>
    <w:lvl w:ilvl="5">
      <w:start w:val="0"/>
      <w:numFmt w:val="none"/>
      <w:lvlRestart w:val="0"/>
      <w:suff w:val="nothing"/>
      <w:lvlJc w:val="left"/>
      <w:pPr>
        <w:tabs>
          <w:tab w:val="num" w:pos="0"/>
        </w:tabs>
        <w:ind w:left="0" w:firstLine="0"/>
      </w:pPr>
    </w:lvl>
    <w:lvl w:ilvl="6">
      <w:start w:val="0"/>
      <w:numFmt w:val="none"/>
      <w:lvlRestart w:val="0"/>
      <w:suff w:val="nothing"/>
      <w:lvlJc w:val="left"/>
      <w:pPr>
        <w:tabs>
          <w:tab w:val="num" w:pos="0"/>
        </w:tabs>
        <w:ind w:left="0" w:firstLine="0"/>
      </w:pPr>
    </w:lvl>
    <w:lvl w:ilvl="7">
      <w:start w:val="0"/>
      <w:numFmt w:val="none"/>
      <w:lvlRestart w:val="0"/>
      <w:suff w:val="nothing"/>
      <w:lvlJc w:val="left"/>
      <w:pPr>
        <w:tabs>
          <w:tab w:val="num" w:pos="0"/>
        </w:tabs>
        <w:ind w:left="0" w:firstLine="0"/>
      </w:pPr>
    </w:lvl>
    <w:lvl w:ilvl="8">
      <w:start w:val="0"/>
      <w:numFmt w:val="none"/>
      <w:lvlRestart w:val="0"/>
      <w:suff w:val="nothing"/>
      <w:lvlJc w:val="left"/>
      <w:pPr>
        <w:tabs>
          <w:tab w:val="num" w:pos="0"/>
        </w:tabs>
        <w:ind w:left="0" w:firstLine="0"/>
      </w:pPr>
    </w:lvl>
  </w:abstractNum>
  <w:abstractNum w:abstractNumId="53">
    <w:nsid w:val="7DB56458"/>
    <w:multiLevelType w:val="multilevel"/>
    <w:tmpl w:val="7DB56455"/>
    <w:lvl w:ilvl="0">
      <w:start w:val="1"/>
      <w:numFmt w:val="decimal"/>
      <w:lvlText w:val="Part %1"/>
      <w:lvlJc w:val="left"/>
      <w:pPr>
        <w:tabs>
          <w:tab w:val="num" w:pos="0"/>
        </w:tabs>
        <w:ind w:left="357" w:hanging="357"/>
      </w:pPr>
      <w:rPr>
        <w:rFonts w:hint="default"/>
        <w:color w:val="000000"/>
      </w:rPr>
    </w:lvl>
    <w:lvl w:ilvl="1">
      <w:start w:val="0"/>
      <w:numFmt w:val="none"/>
      <w:lvlRestart w:val="0"/>
      <w:suff w:val="nothing"/>
      <w:lvlJc w:val="left"/>
      <w:pPr>
        <w:tabs>
          <w:tab w:val="num" w:pos="0"/>
        </w:tabs>
        <w:ind w:left="0" w:firstLine="0"/>
      </w:pPr>
    </w:lvl>
    <w:lvl w:ilvl="2">
      <w:start w:val="0"/>
      <w:numFmt w:val="none"/>
      <w:lvlRestart w:val="0"/>
      <w:suff w:val="nothing"/>
      <w:lvlJc w:val="left"/>
      <w:pPr>
        <w:tabs>
          <w:tab w:val="num" w:pos="0"/>
        </w:tabs>
        <w:ind w:left="0" w:firstLine="0"/>
      </w:pPr>
    </w:lvl>
    <w:lvl w:ilvl="3">
      <w:start w:val="0"/>
      <w:numFmt w:val="none"/>
      <w:lvlRestart w:val="0"/>
      <w:suff w:val="nothing"/>
      <w:lvlJc w:val="left"/>
      <w:pPr>
        <w:tabs>
          <w:tab w:val="num" w:pos="0"/>
        </w:tabs>
        <w:ind w:left="0" w:firstLine="0"/>
      </w:pPr>
    </w:lvl>
    <w:lvl w:ilvl="4">
      <w:start w:val="0"/>
      <w:numFmt w:val="none"/>
      <w:lvlRestart w:val="0"/>
      <w:suff w:val="nothing"/>
      <w:lvlJc w:val="left"/>
      <w:pPr>
        <w:tabs>
          <w:tab w:val="num" w:pos="0"/>
        </w:tabs>
        <w:ind w:left="0" w:firstLine="0"/>
      </w:pPr>
    </w:lvl>
    <w:lvl w:ilvl="5">
      <w:start w:val="0"/>
      <w:numFmt w:val="none"/>
      <w:lvlRestart w:val="0"/>
      <w:suff w:val="nothing"/>
      <w:lvlJc w:val="left"/>
      <w:pPr>
        <w:tabs>
          <w:tab w:val="num" w:pos="0"/>
        </w:tabs>
        <w:ind w:left="0" w:firstLine="0"/>
      </w:pPr>
    </w:lvl>
    <w:lvl w:ilvl="6">
      <w:start w:val="0"/>
      <w:numFmt w:val="none"/>
      <w:lvlRestart w:val="0"/>
      <w:suff w:val="nothing"/>
      <w:lvlJc w:val="left"/>
      <w:pPr>
        <w:tabs>
          <w:tab w:val="num" w:pos="0"/>
        </w:tabs>
        <w:ind w:left="0" w:firstLine="0"/>
      </w:pPr>
    </w:lvl>
    <w:lvl w:ilvl="7">
      <w:start w:val="0"/>
      <w:numFmt w:val="none"/>
      <w:lvlRestart w:val="0"/>
      <w:suff w:val="nothing"/>
      <w:lvlJc w:val="left"/>
      <w:pPr>
        <w:tabs>
          <w:tab w:val="num" w:pos="0"/>
        </w:tabs>
        <w:ind w:left="0" w:firstLine="0"/>
      </w:pPr>
    </w:lvl>
    <w:lvl w:ilvl="8">
      <w:start w:val="0"/>
      <w:numFmt w:val="none"/>
      <w:lvlRestart w:val="0"/>
      <w:suff w:val="nothing"/>
      <w:lvlJc w:val="left"/>
      <w:pPr>
        <w:tabs>
          <w:tab w:val="num" w:pos="0"/>
        </w:tabs>
        <w:ind w:left="0" w:firstLine="0"/>
      </w:pPr>
    </w:lvl>
  </w:abstractNum>
  <w:abstractNum w:abstractNumId="54">
    <w:nsid w:val="7DB56459"/>
    <w:multiLevelType w:val="multilevel"/>
    <w:tmpl w:val="B5EA651E"/>
    <w:lvl w:ilvl="0">
      <w:start w:val="1"/>
      <w:numFmt w:val="decimal"/>
      <w:pStyle w:val="ScheduleTitleClause"/>
      <w:lvlText w:val="%1."/>
      <w:lvlJc w:val="left"/>
      <w:pPr>
        <w:tabs>
          <w:tab w:val="num" w:pos="720"/>
        </w:tabs>
        <w:ind w:left="720" w:hanging="720"/>
      </w:pPr>
      <w:rPr>
        <w:rFonts w:hint="default"/>
        <w:color w:val="000000"/>
      </w:rPr>
    </w:lvl>
    <w:lvl w:ilvl="1">
      <w:start w:val="1"/>
      <w:numFmt w:val="decimal"/>
      <w:pStyle w:val="ScheduleUntitledsubclause1"/>
      <w:lvlText w:val="%1.%2"/>
      <w:lvlJc w:val="left"/>
      <w:pPr>
        <w:tabs>
          <w:tab w:val="num" w:pos="720"/>
        </w:tabs>
        <w:ind w:left="720" w:hanging="720"/>
      </w:pPr>
      <w:rPr>
        <w:rFonts w:hint="default"/>
        <w:color w:val="000000"/>
      </w:rPr>
    </w:lvl>
    <w:lvl w:ilvl="2">
      <w:start w:val="1"/>
      <w:numFmt w:val="lowerLetter"/>
      <w:pStyle w:val="ScheduleUntitledsubclause2"/>
      <w:lvlText w:val="(%3)"/>
      <w:lvlJc w:val="left"/>
      <w:pPr>
        <w:tabs>
          <w:tab w:val="num" w:pos="1555"/>
        </w:tabs>
        <w:ind w:left="1555" w:hanging="561"/>
      </w:pPr>
      <w:rPr>
        <w:rFonts w:hint="default"/>
        <w:color w:val="000000"/>
      </w:rPr>
    </w:lvl>
    <w:lvl w:ilvl="3">
      <w:start w:val="1"/>
      <w:numFmt w:val="lowerRoman"/>
      <w:pStyle w:val="ScheduleUntitledsubclause3"/>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start w:val="0"/>
      <w:numFmt w:val="none"/>
      <w:lvlRestart w:val="0"/>
      <w:suff w:val="nothing"/>
      <w:lvlJc w:val="left"/>
      <w:pPr>
        <w:tabs>
          <w:tab w:val="num" w:pos="0"/>
        </w:tabs>
        <w:ind w:left="0" w:firstLine="0"/>
      </w:pPr>
    </w:lvl>
    <w:lvl w:ilvl="8">
      <w:start w:val="0"/>
      <w:numFmt w:val="none"/>
      <w:lvlRestart w:val="0"/>
      <w:suff w:val="nothing"/>
      <w:lvlJc w:val="left"/>
      <w:pPr>
        <w:tabs>
          <w:tab w:val="num" w:pos="0"/>
        </w:tabs>
        <w:ind w:left="0" w:firstLine="0"/>
      </w:pPr>
    </w:lvl>
  </w:abstractNum>
  <w:abstractNum w:abstractNumId="55">
    <w:nsid w:val="7DB5645A"/>
    <w:multiLevelType w:val="multilevel"/>
    <w:tmpl w:val="7DB5645A"/>
    <w:styleLink w:val="ClauseListStyle"/>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start w:val="0"/>
      <w:numFmt w:val="none"/>
      <w:lvlRestart w:val="0"/>
      <w:suff w:val="nothing"/>
      <w:lvlJc w:val="left"/>
      <w:pPr>
        <w:tabs>
          <w:tab w:val="num" w:pos="0"/>
        </w:tabs>
        <w:ind w:left="0" w:firstLine="0"/>
      </w:pPr>
    </w:lvl>
    <w:lvl w:ilvl="8">
      <w:start w:val="0"/>
      <w:numFmt w:val="none"/>
      <w:lvlRestart w:val="0"/>
      <w:suff w:val="nothing"/>
      <w:lvlJc w:val="left"/>
      <w:pPr>
        <w:tabs>
          <w:tab w:val="num" w:pos="0"/>
        </w:tabs>
        <w:ind w:left="0" w:firstLine="0"/>
      </w:pPr>
    </w:lvl>
  </w:abstractNum>
  <w:abstractNum w:abstractNumId="56">
    <w:nsid w:val="7DB5645B"/>
    <w:multiLevelType w:val="multilevel"/>
    <w:tmpl w:val="7DB5645A"/>
    <w:numStyleLink w:val="ClauseListStyle"/>
    <w:lvl w:ilvl="0">
      <w:start w:val="1"/>
      <w:numFmt w:val="decimal"/>
      <w:pStyle w:val="ScheduleTitleClause"/>
      <w:lvlText w:val="%1."/>
      <w:lvlJc w:val="left"/>
      <w:pPr>
        <w:tabs>
          <w:tab w:val="num" w:pos="720"/>
        </w:tabs>
        <w:ind w:left="720" w:hanging="720"/>
      </w:pPr>
      <w:rPr>
        <w:rFonts w:hint="default"/>
        <w:color w:val="000000"/>
      </w:rPr>
    </w:lvl>
    <w:lvl w:ilvl="1">
      <w:start w:val="1"/>
      <w:numFmt w:val="decimal"/>
      <w:pStyle w:val="ScheduleUntitledsubclause1"/>
      <w:lvlText w:val="%1.%2"/>
      <w:lvlJc w:val="left"/>
      <w:pPr>
        <w:tabs>
          <w:tab w:val="num" w:pos="720"/>
        </w:tabs>
        <w:ind w:left="720" w:hanging="720"/>
      </w:pPr>
      <w:rPr>
        <w:rFonts w:hint="default"/>
        <w:color w:val="000000"/>
      </w:rPr>
    </w:lvl>
    <w:lvl w:ilvl="2">
      <w:start w:val="1"/>
      <w:numFmt w:val="lowerLetter"/>
      <w:pStyle w:val="ScheduleUntitledsubclause2"/>
      <w:lvlText w:val="(%3)"/>
      <w:lvlJc w:val="left"/>
      <w:pPr>
        <w:tabs>
          <w:tab w:val="num" w:pos="1555"/>
        </w:tabs>
        <w:ind w:left="1555" w:hanging="561"/>
      </w:pPr>
      <w:rPr>
        <w:rFonts w:hint="default"/>
        <w:color w:val="000000"/>
      </w:rPr>
    </w:lvl>
    <w:lvl w:ilvl="3">
      <w:start w:val="1"/>
      <w:numFmt w:val="lowerRoman"/>
      <w:pStyle w:val="ScheduleUntitledsubclause3"/>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start w:val="0"/>
      <w:numFmt w:val="none"/>
      <w:lvlRestart w:val="0"/>
      <w:suff w:val="nothing"/>
      <w:lvlJc w:val="left"/>
      <w:pPr>
        <w:tabs>
          <w:tab w:val="num" w:pos="0"/>
        </w:tabs>
        <w:ind w:left="0" w:firstLine="0"/>
      </w:pPr>
    </w:lvl>
    <w:lvl w:ilvl="8">
      <w:start w:val="0"/>
      <w:numFmt w:val="none"/>
      <w:lvlRestart w:val="0"/>
      <w:suff w:val="nothing"/>
      <w:lvlJc w:val="left"/>
      <w:pPr>
        <w:tabs>
          <w:tab w:val="num" w:pos="0"/>
        </w:tabs>
        <w:ind w:left="0" w:firstLine="0"/>
      </w:pPr>
    </w:lvl>
  </w:abstractNum>
  <w:abstractNum w:abstractNumId="57">
    <w:nsid w:val="7DB5645C"/>
    <w:multiLevelType w:val="multilevel"/>
    <w:tmpl w:val="7DB5645A"/>
    <w:numStyleLink w:val="ClauseListStyle"/>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start w:val="0"/>
      <w:numFmt w:val="none"/>
      <w:lvlRestart w:val="0"/>
      <w:suff w:val="nothing"/>
      <w:lvlJc w:val="left"/>
      <w:pPr>
        <w:tabs>
          <w:tab w:val="num" w:pos="0"/>
        </w:tabs>
        <w:ind w:left="0" w:firstLine="0"/>
      </w:pPr>
    </w:lvl>
    <w:lvl w:ilvl="8">
      <w:start w:val="0"/>
      <w:numFmt w:val="none"/>
      <w:lvlRestart w:val="0"/>
      <w:suff w:val="nothing"/>
      <w:lvlJc w:val="left"/>
      <w:pPr>
        <w:tabs>
          <w:tab w:val="num" w:pos="0"/>
        </w:tabs>
        <w:ind w:left="0" w:firstLine="0"/>
      </w:pPr>
    </w:lvl>
  </w:abstractNum>
  <w:num w:numId="1">
    <w:abstractNumId w:val="37"/>
  </w:num>
  <w:num w:numId="2">
    <w:abstractNumId w:val="38"/>
  </w:num>
  <w:num w:numId="3">
    <w:abstractNumId w:val="21"/>
  </w:num>
  <w:num w:numId="4">
    <w:abstractNumId w:val="44"/>
  </w:num>
  <w:num w:numId="5">
    <w:abstractNumId w:val="41"/>
  </w:num>
  <w:num w:numId="6">
    <w:abstractNumId w:val="15"/>
  </w:num>
  <w:num w:numId="7">
    <w:abstractNumId w:val="23"/>
  </w:num>
  <w:num w:numId="8">
    <w:abstractNumId w:val="22"/>
  </w:num>
  <w:num w:numId="9">
    <w:abstractNumId w:val="18"/>
  </w:num>
  <w:num w:numId="10">
    <w:abstractNumId w:val="32"/>
  </w:num>
  <w:num w:numId="11">
    <w:abstractNumId w:val="31"/>
  </w:num>
  <w:num w:numId="12">
    <w:abstractNumId w:val="35"/>
  </w:num>
  <w:num w:numId="13">
    <w:abstractNumId w:val="24"/>
  </w:num>
  <w:num w:numId="14">
    <w:abstractNumId w:val="29"/>
  </w:num>
  <w:num w:numId="15">
    <w:abstractNumId w:val="27"/>
  </w:num>
  <w:num w:numId="16">
    <w:abstractNumId w:val="28"/>
  </w:num>
  <w:num w:numId="17">
    <w:abstractNumId w:val="26"/>
  </w:num>
  <w:num w:numId="18">
    <w:abstractNumId w:val="19"/>
  </w:num>
  <w:num w:numId="19">
    <w:abstractNumId w:val="36"/>
  </w:num>
  <w:num w:numId="20">
    <w:abstractNumId w:val="11"/>
  </w:num>
  <w:num w:numId="21">
    <w:abstractNumId w:val="13"/>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num>
  <w:num w:numId="26">
    <w:abstractNumId w:val="14"/>
  </w:num>
  <w:num w:numId="27">
    <w:abstractNumId w:val="17"/>
  </w:num>
  <w:num w:numId="28">
    <w:abstractNumId w:val="16"/>
  </w:num>
  <w:num w:numId="29">
    <w:abstractNumId w:val="34"/>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10"/>
  </w:num>
  <w:num w:numId="43">
    <w:abstractNumId w:val="43"/>
  </w:num>
  <w:num w:numId="44">
    <w:abstractNumId w:val="25"/>
  </w:num>
  <w:num w:numId="45">
    <w:abstractNumId w:val="33"/>
  </w:num>
  <w:num w:numId="46">
    <w:abstractNumId w:val="40"/>
  </w:num>
  <w:num w:numId="47">
    <w:abstractNumId w:val="20"/>
  </w:num>
  <w:num w:numId="48">
    <w:abstractNumId w:val="30"/>
  </w:num>
  <w:num w:numId="49">
    <w:abstractNumId w:val="45"/>
  </w:num>
  <w:num w:numId="50">
    <w:abstractNumId w:val="46"/>
  </w:num>
  <w:num w:numId="51">
    <w:abstractNumId w:val="47"/>
  </w:num>
  <w:num w:numId="52">
    <w:abstractNumId w:val="48"/>
  </w:num>
  <w:num w:numId="53">
    <w:abstractNumId w:val="49"/>
  </w:num>
  <w:num w:numId="54">
    <w:abstractNumId w:val="50"/>
  </w:num>
  <w:num w:numId="55">
    <w:abstractNumId w:val="51"/>
  </w:num>
  <w:num w:numId="56">
    <w:abstractNumId w:val="52"/>
  </w:num>
  <w:num w:numId="57">
    <w:abstractNumId w:val="53"/>
  </w:num>
  <w:num w:numId="58">
    <w:abstractNumId w:val="54"/>
  </w:num>
  <w:num w:numId="59">
    <w:abstractNumId w:val="55"/>
  </w:num>
  <w:num w:numId="60">
    <w:abstractNumId w:val="56"/>
  </w:num>
  <w:num w:numId="61">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PartsVariable" w:val="&lt;docParts&gt;_x000d__x000a_  &lt;Precedent&gt;agreement&lt;/Precedent&gt;_x000d__x000a_  &lt;Operative&gt;clause&lt;/Operative&gt;_x000d__x000a_  &lt;TemplateType&gt;null&lt;/TemplateType&gt;_x000d__x000a_  &lt;SignaturePageBreakType&gt;Yes without message&lt;/SignaturePageBreakType&gt;_x000d__x000a_&lt;/docParts&gt;"/>
    <w:docVar w:name="gentXMLPartID" w:val="{B4E9BAEF-54B6-45A2-B853-55A99263A1CA}"/>
  </w:docVars>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1DA5"/>
    <w:pPr>
      <w:spacing w:line="240" w:lineRule="atLeast"/>
    </w:pPr>
    <w:rPr>
      <w:rFonts w:ascii="Arial" w:eastAsia="Arial" w:hAnsi="Arial" w:cs="Arial"/>
      <w:color w:val="000000"/>
    </w:rPr>
  </w:style>
  <w:style w:type="paragraph" w:styleId="Heading1">
    <w:name w:val="heading 1"/>
    <w:basedOn w:val="Normal"/>
    <w:next w:val="Normal"/>
    <w:link w:val="Heading1Char"/>
    <w:uiPriority w:val="9"/>
    <w:qFormat/>
    <w:rsid w:val="008D1DA5"/>
    <w:pPr>
      <w:keepNext/>
      <w:keepLines/>
      <w:numPr>
        <w:numId w:val="10"/>
      </w:numPr>
      <w:spacing w:before="480" w:after="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semiHidden/>
    <w:unhideWhenUsed/>
    <w:qFormat/>
    <w:rsid w:val="008D1DA5"/>
    <w:pPr>
      <w:keepNext/>
      <w:keepLines/>
      <w:numPr>
        <w:ilvl w:val="1"/>
        <w:numId w:val="10"/>
      </w:numPr>
      <w:spacing w:before="200" w:after="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semiHidden/>
    <w:unhideWhenUsed/>
    <w:qFormat/>
    <w:rsid w:val="008D1DA5"/>
    <w:pPr>
      <w:keepNext/>
      <w:keepLines/>
      <w:numPr>
        <w:ilvl w:val="2"/>
        <w:numId w:val="10"/>
      </w:numPr>
      <w:spacing w:before="200" w:after="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8D1DA5"/>
    <w:pPr>
      <w:keepNext/>
      <w:keepLines/>
      <w:numPr>
        <w:ilvl w:val="3"/>
        <w:numId w:val="10"/>
      </w:numPr>
      <w:spacing w:before="200" w:after="0"/>
      <w:outlineLvl w:val="3"/>
    </w:pPr>
    <w:rPr>
      <w:rFonts w:asciiTheme="majorHAnsi" w:eastAsiaTheme="majorEastAsia" w:hAnsiTheme="majorHAnsi" w:cstheme="majorBidi"/>
      <w:b/>
      <w:bCs/>
      <w:i/>
      <w:iCs/>
      <w:color w:val="000000"/>
    </w:rPr>
  </w:style>
  <w:style w:type="paragraph" w:styleId="Heading5">
    <w:name w:val="heading 5"/>
    <w:basedOn w:val="Normal"/>
    <w:next w:val="Normal"/>
    <w:link w:val="Heading5Char"/>
    <w:uiPriority w:val="9"/>
    <w:semiHidden/>
    <w:unhideWhenUsed/>
    <w:qFormat/>
    <w:rsid w:val="008D1DA5"/>
    <w:pPr>
      <w:keepNext/>
      <w:keepLines/>
      <w:numPr>
        <w:ilvl w:val="4"/>
        <w:numId w:val="10"/>
      </w:numPr>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8D1DA5"/>
    <w:pPr>
      <w:keepNext/>
      <w:keepLines/>
      <w:numPr>
        <w:ilvl w:val="5"/>
        <w:numId w:val="10"/>
      </w:numPr>
      <w:spacing w:before="200" w:after="0"/>
      <w:outlineLvl w:val="5"/>
    </w:pPr>
    <w:rPr>
      <w:rFonts w:asciiTheme="majorHAnsi" w:eastAsiaTheme="majorEastAsia" w:hAnsiTheme="majorHAnsi" w:cstheme="majorBidi"/>
      <w:i/>
      <w:iCs/>
      <w:color w:val="000000"/>
    </w:rPr>
  </w:style>
  <w:style w:type="paragraph" w:styleId="Heading7">
    <w:name w:val="heading 7"/>
    <w:basedOn w:val="Normal"/>
    <w:next w:val="Normal"/>
    <w:link w:val="Heading7Char"/>
    <w:uiPriority w:val="9"/>
    <w:semiHidden/>
    <w:unhideWhenUsed/>
    <w:qFormat/>
    <w:rsid w:val="008D1DA5"/>
    <w:pPr>
      <w:keepNext/>
      <w:keepLines/>
      <w:numPr>
        <w:ilvl w:val="6"/>
        <w:numId w:val="10"/>
      </w:numPr>
      <w:spacing w:before="200" w:after="0"/>
      <w:outlineLvl w:val="6"/>
    </w:pPr>
    <w:rPr>
      <w:rFonts w:asciiTheme="majorHAnsi" w:eastAsiaTheme="majorEastAsia" w:hAnsiTheme="majorHAnsi" w:cstheme="majorBidi"/>
      <w:i/>
      <w:iCs/>
      <w:color w:val="000000"/>
    </w:rPr>
  </w:style>
  <w:style w:type="paragraph" w:styleId="Heading8">
    <w:name w:val="heading 8"/>
    <w:basedOn w:val="Normal"/>
    <w:next w:val="Normal"/>
    <w:link w:val="Heading8Char"/>
    <w:uiPriority w:val="9"/>
    <w:semiHidden/>
    <w:unhideWhenUsed/>
    <w:qFormat/>
    <w:rsid w:val="008D1DA5"/>
    <w:pPr>
      <w:keepNext/>
      <w:keepLines/>
      <w:numPr>
        <w:ilvl w:val="7"/>
        <w:numId w:val="10"/>
      </w:numPr>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8D1DA5"/>
    <w:pPr>
      <w:keepNext/>
      <w:keepLines/>
      <w:numPr>
        <w:ilvl w:val="8"/>
        <w:numId w:val="10"/>
      </w:numPr>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rsid w:val="008D1DA5"/>
    <w:rPr>
      <w:rFonts w:ascii="Arial" w:eastAsia="Arial" w:hAnsi="Arial" w:cs="Arial"/>
      <w:color w:val="000000"/>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D1DA5"/>
  </w:style>
  <w:style w:type="paragraph" w:customStyle="1" w:styleId="Abstract">
    <w:name w:val="Abstract"/>
    <w:link w:val="AbstractChar"/>
    <w:rsid w:val="008D1DA5"/>
    <w:pPr>
      <w:spacing w:after="120" w:line="240" w:lineRule="auto"/>
    </w:pPr>
    <w:rPr>
      <w:rFonts w:ascii="Arial" w:eastAsia="Arial Unicode MS" w:hAnsi="Arial" w:cs="Arial"/>
      <w:color w:val="000000"/>
      <w:sz w:val="24"/>
      <w:szCs w:val="24"/>
      <w:lang w:val="en-US" w:eastAsia="en-US"/>
    </w:rPr>
  </w:style>
  <w:style w:type="character" w:customStyle="1" w:styleId="AbstractChar">
    <w:name w:val="Abstract Char"/>
    <w:link w:val="Abstract"/>
    <w:rsid w:val="008D1DA5"/>
    <w:rPr>
      <w:rFonts w:ascii="Arial" w:eastAsia="Arial Unicode MS" w:hAnsi="Arial" w:cs="Arial"/>
      <w:color w:val="000000"/>
      <w:sz w:val="24"/>
      <w:szCs w:val="24"/>
      <w:lang w:val="en-US" w:eastAsia="en-US"/>
    </w:rPr>
  </w:style>
  <w:style w:type="paragraph" w:customStyle="1" w:styleId="Annex">
    <w:name w:val="Annex"/>
    <w:basedOn w:val="Paragraph"/>
    <w:next w:val="Paragraph"/>
    <w:qFormat/>
    <w:rsid w:val="008D1DA5"/>
    <w:pPr>
      <w:numPr>
        <w:numId w:val="24"/>
      </w:numPr>
      <w:spacing w:before="240" w:after="240"/>
      <w:ind w:left="0" w:firstLine="0"/>
    </w:pPr>
    <w:rPr>
      <w:b/>
      <w:color w:val="000000"/>
    </w:rPr>
  </w:style>
  <w:style w:type="paragraph" w:customStyle="1" w:styleId="AuthoringGroup">
    <w:name w:val="Authoring Group"/>
    <w:link w:val="AuthoringGroupChar"/>
    <w:rsid w:val="008D1DA5"/>
    <w:pPr>
      <w:spacing w:after="120" w:line="240" w:lineRule="auto"/>
    </w:pPr>
    <w:rPr>
      <w:rFonts w:ascii="Arial" w:eastAsia="Arial Unicode MS" w:hAnsi="Arial" w:cs="Arial"/>
      <w:color w:val="000000"/>
      <w:sz w:val="24"/>
      <w:lang w:val="en-US" w:eastAsia="en-US"/>
    </w:rPr>
  </w:style>
  <w:style w:type="character" w:customStyle="1" w:styleId="AuthoringGroupChar">
    <w:name w:val="Authoring Group Char"/>
    <w:link w:val="AuthoringGroup"/>
    <w:rsid w:val="008D1DA5"/>
    <w:rPr>
      <w:rFonts w:ascii="Arial" w:eastAsia="Arial Unicode MS" w:hAnsi="Arial" w:cs="Arial"/>
      <w:color w:val="000000"/>
      <w:sz w:val="24"/>
      <w:lang w:val="en-US" w:eastAsia="en-US"/>
    </w:rPr>
  </w:style>
  <w:style w:type="paragraph" w:customStyle="1" w:styleId="Background">
    <w:name w:val="Background"/>
    <w:aliases w:val="(A) Background"/>
    <w:basedOn w:val="Normal"/>
    <w:rsid w:val="008D1DA5"/>
    <w:pPr>
      <w:numPr>
        <w:numId w:val="1"/>
      </w:numPr>
      <w:spacing w:before="120" w:after="120" w:line="300" w:lineRule="atLeast"/>
      <w:jc w:val="both"/>
    </w:pPr>
    <w:rPr>
      <w:rFonts w:ascii="Arial" w:eastAsia="Arial Unicode MS" w:hAnsi="Arial" w:cs="Arial"/>
      <w:color w:val="000000"/>
      <w:szCs w:val="20"/>
      <w:lang w:eastAsia="en-US"/>
    </w:rPr>
  </w:style>
  <w:style w:type="paragraph" w:customStyle="1" w:styleId="BulletList1">
    <w:name w:val="Bullet List 1"/>
    <w:aliases w:val="Bullet1"/>
    <w:basedOn w:val="Normal"/>
    <w:rsid w:val="008D1DA5"/>
    <w:pPr>
      <w:numPr>
        <w:numId w:val="2"/>
      </w:numPr>
      <w:spacing w:after="240" w:line="300" w:lineRule="atLeast"/>
      <w:jc w:val="both"/>
    </w:pPr>
    <w:rPr>
      <w:rFonts w:ascii="Arial" w:eastAsia="Arial Unicode MS" w:hAnsi="Arial" w:cs="Arial"/>
      <w:color w:val="000000"/>
      <w:szCs w:val="20"/>
      <w:lang w:eastAsia="en-US"/>
    </w:rPr>
  </w:style>
  <w:style w:type="paragraph" w:customStyle="1" w:styleId="BulletList2">
    <w:name w:val="Bullet List 2"/>
    <w:aliases w:val="Bullet2"/>
    <w:basedOn w:val="Normal"/>
    <w:rsid w:val="008D1DA5"/>
    <w:pPr>
      <w:numPr>
        <w:numId w:val="3"/>
      </w:numPr>
      <w:spacing w:after="120" w:line="240" w:lineRule="auto"/>
      <w:ind w:left="1080" w:hanging="720"/>
      <w:jc w:val="both"/>
    </w:pPr>
    <w:rPr>
      <w:rFonts w:ascii="Arial" w:eastAsia="Arial Unicode MS" w:hAnsi="Arial" w:cs="Arial"/>
      <w:color w:val="000000"/>
      <w:szCs w:val="20"/>
      <w:lang w:eastAsia="en-US"/>
    </w:rPr>
  </w:style>
  <w:style w:type="paragraph" w:customStyle="1" w:styleId="BulletList3">
    <w:name w:val="Bullet List 3"/>
    <w:aliases w:val="Bullet3"/>
    <w:basedOn w:val="Normal"/>
    <w:rsid w:val="008D1DA5"/>
    <w:pPr>
      <w:numPr>
        <w:numId w:val="4"/>
      </w:numPr>
      <w:spacing w:after="240" w:line="240" w:lineRule="auto"/>
      <w:jc w:val="both"/>
    </w:pPr>
    <w:rPr>
      <w:rFonts w:ascii="Arial" w:eastAsia="Arial Unicode MS" w:hAnsi="Arial" w:cs="Arial"/>
      <w:color w:val="000000"/>
      <w:szCs w:val="20"/>
      <w:lang w:eastAsia="en-US"/>
    </w:rPr>
  </w:style>
  <w:style w:type="paragraph" w:customStyle="1" w:styleId="TitleClause">
    <w:name w:val="Title Clause"/>
    <w:basedOn w:val="Normal"/>
    <w:rsid w:val="008D1DA5"/>
    <w:pPr>
      <w:keepNext/>
      <w:numPr>
        <w:numId w:val="22"/>
      </w:numPr>
      <w:spacing w:before="240" w:after="240" w:line="300" w:lineRule="atLeast"/>
      <w:jc w:val="both"/>
      <w:outlineLvl w:val="0"/>
    </w:pPr>
    <w:rPr>
      <w:rFonts w:ascii="Arial" w:eastAsia="Arial Unicode MS" w:hAnsi="Arial" w:cs="Arial"/>
      <w:b/>
      <w:color w:val="000000"/>
      <w:kern w:val="28"/>
      <w:szCs w:val="20"/>
      <w:lang w:eastAsia="en-US"/>
    </w:rPr>
  </w:style>
  <w:style w:type="paragraph" w:customStyle="1" w:styleId="ClauseNoTitle">
    <w:name w:val="Clause No Title"/>
    <w:basedOn w:val="TitleClause"/>
    <w:rsid w:val="008D1DA5"/>
    <w:rPr>
      <w:b w:val="0"/>
      <w:smallCaps/>
      <w:color w:val="000000"/>
    </w:rPr>
  </w:style>
  <w:style w:type="paragraph" w:customStyle="1" w:styleId="ClosingPara">
    <w:name w:val="Closing Para"/>
    <w:basedOn w:val="Normal"/>
    <w:rsid w:val="008D1DA5"/>
    <w:pPr>
      <w:spacing w:before="120" w:after="240" w:line="300" w:lineRule="atLeast"/>
      <w:jc w:val="both"/>
    </w:pPr>
    <w:rPr>
      <w:rFonts w:ascii="Arial" w:eastAsia="Arial Unicode MS" w:hAnsi="Arial" w:cs="Arial"/>
      <w:color w:val="000000"/>
      <w:szCs w:val="20"/>
      <w:lang w:eastAsia="en-US"/>
    </w:rPr>
  </w:style>
  <w:style w:type="paragraph" w:customStyle="1" w:styleId="ClosingSignOff">
    <w:name w:val="Closing SignOff"/>
    <w:basedOn w:val="Normal"/>
    <w:rsid w:val="008D1DA5"/>
    <w:pPr>
      <w:spacing w:after="120" w:line="300" w:lineRule="atLeast"/>
      <w:jc w:val="both"/>
    </w:pPr>
    <w:rPr>
      <w:rFonts w:ascii="Arial" w:eastAsia="Arial Unicode MS" w:hAnsi="Arial" w:cs="Arial"/>
      <w:color w:val="000000"/>
      <w:szCs w:val="20"/>
      <w:lang w:eastAsia="en-US"/>
    </w:rPr>
  </w:style>
  <w:style w:type="paragraph" w:customStyle="1" w:styleId="CoversheetTitle">
    <w:name w:val="Coversheet Title"/>
    <w:basedOn w:val="Normal"/>
    <w:autoRedefine/>
    <w:rsid w:val="008D1DA5"/>
    <w:pPr>
      <w:spacing w:before="480" w:after="480" w:line="300" w:lineRule="atLeast"/>
      <w:jc w:val="center"/>
    </w:pPr>
    <w:rPr>
      <w:rFonts w:ascii="Arial" w:eastAsia="Arial Unicode MS" w:hAnsi="Arial" w:cs="Arial"/>
      <w:b/>
      <w:smallCaps/>
      <w:color w:val="000000"/>
      <w:sz w:val="28"/>
      <w:szCs w:val="20"/>
      <w:lang w:eastAsia="en-US"/>
    </w:rPr>
  </w:style>
  <w:style w:type="paragraph" w:customStyle="1" w:styleId="CoverSheetHeading">
    <w:name w:val="Cover Sheet Heading"/>
    <w:aliases w:val="Coversheet Title2"/>
    <w:basedOn w:val="CoversheetTitle"/>
    <w:rsid w:val="008D1DA5"/>
    <w:rPr>
      <w:color w:val="000000"/>
    </w:rPr>
  </w:style>
  <w:style w:type="paragraph" w:customStyle="1" w:styleId="CoverSheetSubjectText">
    <w:name w:val="Cover Sheet Subject Text"/>
    <w:basedOn w:val="Normal"/>
    <w:rsid w:val="008D1DA5"/>
    <w:pPr>
      <w:spacing w:after="0" w:line="300" w:lineRule="atLeast"/>
      <w:jc w:val="center"/>
    </w:pPr>
    <w:rPr>
      <w:rFonts w:ascii="Arial" w:eastAsia="Arial Unicode MS" w:hAnsi="Arial" w:cs="Arial"/>
      <w:color w:val="000000"/>
      <w:szCs w:val="20"/>
      <w:lang w:eastAsia="en-US"/>
    </w:rPr>
  </w:style>
  <w:style w:type="paragraph" w:customStyle="1" w:styleId="CoverSheetSubjectTitle">
    <w:name w:val="Cover Sheet Subject Title"/>
    <w:basedOn w:val="Normal"/>
    <w:rsid w:val="008D1DA5"/>
    <w:pPr>
      <w:spacing w:after="0" w:line="300" w:lineRule="atLeast"/>
      <w:jc w:val="center"/>
    </w:pPr>
    <w:rPr>
      <w:rFonts w:ascii="Arial" w:eastAsia="Arial Unicode MS" w:hAnsi="Arial" w:cs="Arial"/>
      <w:color w:val="000000"/>
      <w:szCs w:val="20"/>
      <w:lang w:eastAsia="en-US"/>
    </w:rPr>
  </w:style>
  <w:style w:type="paragraph" w:customStyle="1" w:styleId="DefinedTermPara">
    <w:name w:val="Defined Term Para"/>
    <w:basedOn w:val="Paragraph"/>
    <w:qFormat/>
    <w:rsid w:val="008D1DA5"/>
    <w:pPr>
      <w:numPr>
        <w:numId w:val="23"/>
      </w:numPr>
    </w:pPr>
    <w:rPr>
      <w:color w:val="000000"/>
    </w:rPr>
  </w:style>
  <w:style w:type="paragraph" w:customStyle="1" w:styleId="DescriptiveHeading">
    <w:name w:val="DescriptiveHeading"/>
    <w:next w:val="Paragraph"/>
    <w:link w:val="DescriptiveHeadingChar"/>
    <w:rsid w:val="008D1DA5"/>
    <w:pPr>
      <w:spacing w:before="360" w:after="360" w:line="240" w:lineRule="auto"/>
      <w:outlineLvl w:val="0"/>
    </w:pPr>
    <w:rPr>
      <w:rFonts w:ascii="Arial" w:eastAsia="Arial Unicode MS" w:hAnsi="Arial" w:cs="Arial"/>
      <w:b/>
      <w:color w:val="000000"/>
      <w:lang w:val="en-US" w:eastAsia="en-US"/>
    </w:rPr>
  </w:style>
  <w:style w:type="character" w:customStyle="1" w:styleId="DescriptiveHeadingChar">
    <w:name w:val="DescriptiveHeading Char"/>
    <w:link w:val="DescriptiveHeading"/>
    <w:rsid w:val="008D1DA5"/>
    <w:rPr>
      <w:rFonts w:ascii="Arial" w:eastAsia="Arial Unicode MS" w:hAnsi="Arial" w:cs="Arial"/>
      <w:b/>
      <w:color w:val="000000"/>
      <w:lang w:val="en-US" w:eastAsia="en-US"/>
    </w:rPr>
  </w:style>
  <w:style w:type="paragraph" w:customStyle="1" w:styleId="DraftingnoteSection1Para">
    <w:name w:val="Draftingnote Section1 Para"/>
    <w:basedOn w:val="Normal"/>
    <w:rsid w:val="008D1DA5"/>
    <w:pPr>
      <w:spacing w:after="120" w:line="300" w:lineRule="atLeast"/>
      <w:jc w:val="both"/>
    </w:pPr>
    <w:rPr>
      <w:rFonts w:ascii="Arial" w:eastAsia="Arial Unicode MS" w:hAnsi="Arial" w:cs="Arial"/>
      <w:color w:val="000000"/>
      <w:szCs w:val="20"/>
      <w:lang w:eastAsia="en-US"/>
    </w:rPr>
  </w:style>
  <w:style w:type="paragraph" w:customStyle="1" w:styleId="DraftingnoteSection1Title">
    <w:name w:val="Draftingnote Section1 Title"/>
    <w:basedOn w:val="Normal"/>
    <w:rsid w:val="008D1DA5"/>
    <w:pPr>
      <w:spacing w:after="120" w:line="300" w:lineRule="atLeast"/>
      <w:jc w:val="both"/>
    </w:pPr>
    <w:rPr>
      <w:rFonts w:ascii="Arial" w:eastAsia="Arial Unicode MS" w:hAnsi="Arial" w:cs="Arial"/>
      <w:b/>
      <w:color w:val="000000"/>
      <w:sz w:val="36"/>
      <w:szCs w:val="20"/>
      <w:lang w:eastAsia="en-US"/>
    </w:rPr>
  </w:style>
  <w:style w:type="paragraph" w:customStyle="1" w:styleId="DraftingnoteSection2Para">
    <w:name w:val="Draftingnote Section2 Para"/>
    <w:basedOn w:val="Normal"/>
    <w:rsid w:val="008D1DA5"/>
    <w:pPr>
      <w:spacing w:after="120" w:line="300" w:lineRule="atLeast"/>
      <w:jc w:val="both"/>
    </w:pPr>
    <w:rPr>
      <w:rFonts w:ascii="Arial" w:eastAsia="Arial Unicode MS" w:hAnsi="Arial" w:cs="Arial"/>
      <w:color w:val="000000"/>
      <w:szCs w:val="20"/>
      <w:lang w:eastAsia="en-US"/>
    </w:rPr>
  </w:style>
  <w:style w:type="paragraph" w:customStyle="1" w:styleId="DraftingnoteSection2Title">
    <w:name w:val="Draftingnote Section2 Title"/>
    <w:basedOn w:val="Normal"/>
    <w:rsid w:val="008D1DA5"/>
    <w:pPr>
      <w:spacing w:after="120" w:line="300" w:lineRule="atLeast"/>
      <w:jc w:val="both"/>
    </w:pPr>
    <w:rPr>
      <w:rFonts w:ascii="Arial" w:eastAsia="Arial Unicode MS" w:hAnsi="Arial" w:cs="Arial"/>
      <w:b/>
      <w:color w:val="000000"/>
      <w:sz w:val="28"/>
      <w:szCs w:val="20"/>
      <w:lang w:eastAsia="en-US"/>
    </w:rPr>
  </w:style>
  <w:style w:type="paragraph" w:customStyle="1" w:styleId="DraftingnoteSection3Para">
    <w:name w:val="Draftingnote Section3 Para"/>
    <w:basedOn w:val="Normal"/>
    <w:rsid w:val="008D1DA5"/>
    <w:pPr>
      <w:spacing w:after="120" w:line="300" w:lineRule="atLeast"/>
      <w:jc w:val="both"/>
    </w:pPr>
    <w:rPr>
      <w:rFonts w:ascii="Arial" w:eastAsia="Arial Unicode MS" w:hAnsi="Arial" w:cs="Arial"/>
      <w:color w:val="000000"/>
      <w:szCs w:val="20"/>
      <w:lang w:eastAsia="en-US"/>
    </w:rPr>
  </w:style>
  <w:style w:type="paragraph" w:customStyle="1" w:styleId="DraftingnoteSection3Title">
    <w:name w:val="Draftingnote Section3 Title"/>
    <w:basedOn w:val="Normal"/>
    <w:rsid w:val="008D1DA5"/>
    <w:pPr>
      <w:spacing w:after="120" w:line="300" w:lineRule="atLeast"/>
      <w:jc w:val="both"/>
    </w:pPr>
    <w:rPr>
      <w:rFonts w:ascii="Arial" w:eastAsia="Arial Unicode MS" w:hAnsi="Arial" w:cs="Arial"/>
      <w:b/>
      <w:i/>
      <w:color w:val="000000"/>
      <w:sz w:val="28"/>
      <w:szCs w:val="20"/>
      <w:lang w:eastAsia="en-US"/>
    </w:rPr>
  </w:style>
  <w:style w:type="paragraph" w:customStyle="1" w:styleId="DraftingnoteSection4Para">
    <w:name w:val="Draftingnote Section4 Para"/>
    <w:basedOn w:val="Normal"/>
    <w:rsid w:val="008D1DA5"/>
    <w:pPr>
      <w:spacing w:after="120" w:line="300" w:lineRule="atLeast"/>
      <w:jc w:val="both"/>
    </w:pPr>
    <w:rPr>
      <w:rFonts w:ascii="Arial" w:eastAsia="Arial Unicode MS" w:hAnsi="Arial" w:cs="Arial"/>
      <w:color w:val="000000"/>
      <w:szCs w:val="20"/>
      <w:lang w:eastAsia="en-US"/>
    </w:rPr>
  </w:style>
  <w:style w:type="paragraph" w:customStyle="1" w:styleId="DraftingnoteSection4Title">
    <w:name w:val="Draftingnote Section4 Title"/>
    <w:basedOn w:val="Normal"/>
    <w:rsid w:val="008D1DA5"/>
    <w:pPr>
      <w:spacing w:after="120" w:line="300" w:lineRule="atLeast"/>
      <w:jc w:val="both"/>
    </w:pPr>
    <w:rPr>
      <w:rFonts w:ascii="Arial" w:eastAsia="Arial Unicode MS" w:hAnsi="Arial" w:cs="Arial"/>
      <w:b/>
      <w:i/>
      <w:color w:val="000000"/>
      <w:sz w:val="28"/>
      <w:szCs w:val="20"/>
      <w:lang w:eastAsia="en-US"/>
    </w:rPr>
  </w:style>
  <w:style w:type="paragraph" w:customStyle="1" w:styleId="DraftingnoteTitle">
    <w:name w:val="Draftingnote Title"/>
    <w:basedOn w:val="Normal"/>
    <w:rsid w:val="008D1DA5"/>
    <w:pPr>
      <w:spacing w:after="120" w:line="300" w:lineRule="atLeast"/>
      <w:jc w:val="both"/>
    </w:pPr>
    <w:rPr>
      <w:rFonts w:ascii="Arial" w:eastAsia="Arial Unicode MS" w:hAnsi="Arial" w:cs="Arial"/>
      <w:b/>
      <w:color w:val="000000"/>
      <w:sz w:val="28"/>
      <w:szCs w:val="20"/>
      <w:lang w:eastAsia="en-US"/>
    </w:rPr>
  </w:style>
  <w:style w:type="paragraph" w:customStyle="1" w:styleId="FulltextBridgehead">
    <w:name w:val="Fulltext Bridgehead"/>
    <w:basedOn w:val="Normal"/>
    <w:rsid w:val="008D1DA5"/>
    <w:pPr>
      <w:spacing w:after="120" w:line="300" w:lineRule="atLeast"/>
      <w:jc w:val="both"/>
    </w:pPr>
    <w:rPr>
      <w:rFonts w:ascii="Arial" w:eastAsia="Arial Unicode MS" w:hAnsi="Arial" w:cs="Arial"/>
      <w:b/>
      <w:color w:val="000000"/>
      <w:sz w:val="48"/>
      <w:szCs w:val="20"/>
      <w:lang w:eastAsia="en-US"/>
    </w:rPr>
  </w:style>
  <w:style w:type="paragraph" w:customStyle="1" w:styleId="FulltextSection1Para">
    <w:name w:val="Fulltext Section1 Para"/>
    <w:basedOn w:val="Normal"/>
    <w:rsid w:val="008D1DA5"/>
    <w:pPr>
      <w:spacing w:after="120" w:line="300" w:lineRule="atLeast"/>
      <w:jc w:val="both"/>
    </w:pPr>
    <w:rPr>
      <w:rFonts w:ascii="Arial" w:eastAsia="Arial Unicode MS" w:hAnsi="Arial" w:cs="Arial"/>
      <w:color w:val="000000"/>
      <w:szCs w:val="20"/>
      <w:lang w:eastAsia="en-US"/>
    </w:rPr>
  </w:style>
  <w:style w:type="paragraph" w:customStyle="1" w:styleId="FulltextSection1Title">
    <w:name w:val="Fulltext Section1 Title"/>
    <w:basedOn w:val="Normal"/>
    <w:rsid w:val="008D1DA5"/>
    <w:pPr>
      <w:spacing w:after="120" w:line="300" w:lineRule="atLeast"/>
      <w:jc w:val="both"/>
    </w:pPr>
    <w:rPr>
      <w:rFonts w:ascii="Arial" w:eastAsia="Arial Unicode MS" w:hAnsi="Arial" w:cs="Arial"/>
      <w:b/>
      <w:color w:val="000000"/>
      <w:sz w:val="36"/>
      <w:szCs w:val="20"/>
      <w:lang w:eastAsia="en-US"/>
    </w:rPr>
  </w:style>
  <w:style w:type="paragraph" w:customStyle="1" w:styleId="FulltextSection2Para">
    <w:name w:val="Fulltext Section2 Para"/>
    <w:basedOn w:val="Normal"/>
    <w:rsid w:val="008D1DA5"/>
    <w:pPr>
      <w:spacing w:after="120" w:line="300" w:lineRule="atLeast"/>
      <w:jc w:val="both"/>
    </w:pPr>
    <w:rPr>
      <w:rFonts w:ascii="Arial" w:eastAsia="Arial Unicode MS" w:hAnsi="Arial" w:cs="Arial"/>
      <w:color w:val="000000"/>
      <w:szCs w:val="20"/>
      <w:lang w:eastAsia="en-US"/>
    </w:rPr>
  </w:style>
  <w:style w:type="paragraph" w:customStyle="1" w:styleId="FulltextSection2Title">
    <w:name w:val="Fulltext Section2 Title"/>
    <w:basedOn w:val="Normal"/>
    <w:rsid w:val="008D1DA5"/>
    <w:pPr>
      <w:spacing w:after="120" w:line="300" w:lineRule="atLeast"/>
      <w:jc w:val="both"/>
    </w:pPr>
    <w:rPr>
      <w:rFonts w:ascii="Arial" w:eastAsia="Arial Unicode MS" w:hAnsi="Arial" w:cs="Arial"/>
      <w:b/>
      <w:color w:val="000000"/>
      <w:sz w:val="28"/>
      <w:szCs w:val="20"/>
      <w:lang w:eastAsia="en-US"/>
    </w:rPr>
  </w:style>
  <w:style w:type="paragraph" w:customStyle="1" w:styleId="FulltextSection3Para">
    <w:name w:val="Fulltext Section3 Para"/>
    <w:basedOn w:val="Normal"/>
    <w:rsid w:val="008D1DA5"/>
    <w:pPr>
      <w:spacing w:after="120" w:line="300" w:lineRule="atLeast"/>
      <w:jc w:val="both"/>
    </w:pPr>
    <w:rPr>
      <w:rFonts w:ascii="Arial" w:eastAsia="Arial Unicode MS" w:hAnsi="Arial" w:cs="Arial"/>
      <w:color w:val="000000"/>
      <w:szCs w:val="20"/>
      <w:lang w:eastAsia="en-US"/>
    </w:rPr>
  </w:style>
  <w:style w:type="paragraph" w:customStyle="1" w:styleId="FulltextSection3Title">
    <w:name w:val="Fulltext Section3 Title"/>
    <w:basedOn w:val="Normal"/>
    <w:rsid w:val="008D1DA5"/>
    <w:pPr>
      <w:spacing w:after="120" w:line="300" w:lineRule="atLeast"/>
      <w:jc w:val="both"/>
    </w:pPr>
    <w:rPr>
      <w:rFonts w:ascii="Arial" w:eastAsia="Arial Unicode MS" w:hAnsi="Arial" w:cs="Arial"/>
      <w:b/>
      <w:i/>
      <w:color w:val="000000"/>
      <w:sz w:val="28"/>
      <w:szCs w:val="20"/>
      <w:lang w:eastAsia="en-US"/>
    </w:rPr>
  </w:style>
  <w:style w:type="paragraph" w:customStyle="1" w:styleId="FulltextSection4Para">
    <w:name w:val="Fulltext Section4 Para"/>
    <w:basedOn w:val="Normal"/>
    <w:rsid w:val="008D1DA5"/>
    <w:pPr>
      <w:spacing w:after="120" w:line="300" w:lineRule="atLeast"/>
      <w:jc w:val="both"/>
    </w:pPr>
    <w:rPr>
      <w:rFonts w:ascii="Arial" w:eastAsia="Arial Unicode MS" w:hAnsi="Arial" w:cs="Arial"/>
      <w:color w:val="000000"/>
      <w:szCs w:val="20"/>
      <w:lang w:eastAsia="en-US"/>
    </w:rPr>
  </w:style>
  <w:style w:type="paragraph" w:customStyle="1" w:styleId="FulltextSection4Title">
    <w:name w:val="Fulltext Section4 Title"/>
    <w:basedOn w:val="Normal"/>
    <w:rsid w:val="008D1DA5"/>
    <w:pPr>
      <w:spacing w:after="120" w:line="300" w:lineRule="atLeast"/>
      <w:jc w:val="both"/>
    </w:pPr>
    <w:rPr>
      <w:rFonts w:ascii="Arial" w:eastAsia="Arial Unicode MS" w:hAnsi="Arial" w:cs="Arial"/>
      <w:b/>
      <w:i/>
      <w:color w:val="000000"/>
      <w:sz w:val="28"/>
      <w:szCs w:val="20"/>
      <w:lang w:eastAsia="en-US"/>
    </w:rPr>
  </w:style>
  <w:style w:type="paragraph" w:customStyle="1" w:styleId="GlossItemGlossdefPara">
    <w:name w:val="GlossItem Glossdef Para"/>
    <w:basedOn w:val="Normal"/>
    <w:rsid w:val="008D1DA5"/>
    <w:pPr>
      <w:spacing w:after="120" w:line="300" w:lineRule="atLeast"/>
      <w:jc w:val="both"/>
    </w:pPr>
    <w:rPr>
      <w:rFonts w:ascii="Arial" w:eastAsia="Arial Unicode MS" w:hAnsi="Arial" w:cs="Arial"/>
      <w:color w:val="000000"/>
      <w:szCs w:val="20"/>
      <w:lang w:eastAsia="en-US"/>
    </w:rPr>
  </w:style>
  <w:style w:type="paragraph" w:customStyle="1" w:styleId="GlossItemGlossterm">
    <w:name w:val="GlossItem Glossterm"/>
    <w:basedOn w:val="Normal"/>
    <w:rsid w:val="008D1DA5"/>
    <w:pPr>
      <w:spacing w:after="120" w:line="300" w:lineRule="atLeast"/>
      <w:jc w:val="both"/>
    </w:pPr>
    <w:rPr>
      <w:rFonts w:ascii="Arial" w:eastAsia="Arial Unicode MS" w:hAnsi="Arial" w:cs="Arial"/>
      <w:b/>
      <w:color w:val="000000"/>
      <w:sz w:val="48"/>
      <w:szCs w:val="20"/>
      <w:lang w:eastAsia="en-US"/>
    </w:rPr>
  </w:style>
  <w:style w:type="paragraph" w:customStyle="1" w:styleId="HeadingAddressLine">
    <w:name w:val="Heading Address Line"/>
    <w:basedOn w:val="Normal"/>
    <w:rsid w:val="008D1DA5"/>
    <w:pPr>
      <w:spacing w:after="120" w:line="300" w:lineRule="atLeast"/>
      <w:jc w:val="both"/>
    </w:pPr>
    <w:rPr>
      <w:rFonts w:ascii="Arial" w:eastAsia="Arial Unicode MS" w:hAnsi="Arial" w:cs="Arial"/>
      <w:color w:val="000000"/>
      <w:szCs w:val="20"/>
      <w:lang w:eastAsia="en-US"/>
    </w:rPr>
  </w:style>
  <w:style w:type="paragraph" w:customStyle="1" w:styleId="HeadingDate">
    <w:name w:val="Heading Date"/>
    <w:basedOn w:val="Normal"/>
    <w:rsid w:val="008D1DA5"/>
    <w:pPr>
      <w:spacing w:after="120" w:line="300" w:lineRule="atLeast"/>
      <w:jc w:val="both"/>
    </w:pPr>
    <w:rPr>
      <w:rFonts w:ascii="Arial" w:eastAsia="Arial Unicode MS" w:hAnsi="Arial" w:cs="Arial"/>
      <w:color w:val="000000"/>
      <w:szCs w:val="20"/>
      <w:lang w:eastAsia="en-US"/>
    </w:rPr>
  </w:style>
  <w:style w:type="paragraph" w:customStyle="1" w:styleId="HeadingLetterheadBasedOnAttribute">
    <w:name w:val="Heading Letterhead Based On Attribute"/>
    <w:basedOn w:val="Normal"/>
    <w:rsid w:val="008D1DA5"/>
    <w:pPr>
      <w:spacing w:after="120" w:line="300" w:lineRule="atLeast"/>
      <w:jc w:val="both"/>
    </w:pPr>
    <w:rPr>
      <w:rFonts w:ascii="Arial" w:eastAsia="Arial Unicode MS" w:hAnsi="Arial" w:cs="Arial"/>
      <w:color w:val="000000"/>
      <w:szCs w:val="20"/>
      <w:lang w:eastAsia="en-US"/>
    </w:rPr>
  </w:style>
  <w:style w:type="paragraph" w:customStyle="1" w:styleId="HeadingSalutation">
    <w:name w:val="Heading Salutation"/>
    <w:basedOn w:val="Normal"/>
    <w:rsid w:val="008D1DA5"/>
    <w:pPr>
      <w:spacing w:after="120" w:line="300" w:lineRule="atLeast"/>
      <w:jc w:val="both"/>
    </w:pPr>
    <w:rPr>
      <w:rFonts w:ascii="Arial" w:eastAsia="Arial Unicode MS" w:hAnsi="Arial" w:cs="Arial"/>
      <w:color w:val="000000"/>
      <w:szCs w:val="20"/>
      <w:lang w:eastAsia="en-US"/>
    </w:rPr>
  </w:style>
  <w:style w:type="paragraph" w:customStyle="1" w:styleId="IgnoredSpacing">
    <w:name w:val="Ignored Spacing"/>
    <w:link w:val="IgnoredSpacingChar"/>
    <w:rsid w:val="008D1DA5"/>
    <w:pPr>
      <w:spacing w:after="120" w:line="240" w:lineRule="auto"/>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8D1DA5"/>
    <w:rPr>
      <w:rFonts w:ascii="Arial" w:eastAsia="Arial Unicode MS" w:hAnsi="Arial" w:cs="Arial"/>
      <w:color w:val="000000"/>
      <w:sz w:val="24"/>
      <w:szCs w:val="24"/>
      <w:lang w:val="en-US" w:eastAsia="en-US"/>
    </w:rPr>
  </w:style>
  <w:style w:type="paragraph" w:customStyle="1" w:styleId="InternalAuthor">
    <w:name w:val="Internal Author"/>
    <w:link w:val="InternalAuthorChar"/>
    <w:rsid w:val="008D1DA5"/>
    <w:pPr>
      <w:spacing w:after="120" w:line="240" w:lineRule="auto"/>
    </w:pPr>
    <w:rPr>
      <w:rFonts w:ascii="Arial" w:eastAsia="Arial Unicode MS" w:hAnsi="Arial" w:cs="Arial"/>
      <w:color w:val="000000"/>
      <w:sz w:val="24"/>
      <w:lang w:val="en-US" w:eastAsia="en-US"/>
    </w:rPr>
  </w:style>
  <w:style w:type="character" w:customStyle="1" w:styleId="InternalAuthorChar">
    <w:name w:val="Internal Author Char"/>
    <w:link w:val="InternalAuthor"/>
    <w:rsid w:val="008D1DA5"/>
    <w:rPr>
      <w:rFonts w:ascii="Arial" w:eastAsia="Arial Unicode MS" w:hAnsi="Arial" w:cs="Arial"/>
      <w:color w:val="000000"/>
      <w:sz w:val="24"/>
      <w:lang w:val="en-US" w:eastAsia="en-US"/>
    </w:rPr>
  </w:style>
  <w:style w:type="paragraph" w:customStyle="1" w:styleId="MaintenanceEditor">
    <w:name w:val="Maintenance Editor"/>
    <w:link w:val="MaintenanceEditorChar"/>
    <w:rsid w:val="008D1DA5"/>
    <w:pPr>
      <w:spacing w:after="120" w:line="240" w:lineRule="auto"/>
    </w:pPr>
    <w:rPr>
      <w:rFonts w:ascii="Arial" w:eastAsia="Arial Unicode MS" w:hAnsi="Arial" w:cs="Arial"/>
      <w:color w:val="000000"/>
      <w:sz w:val="24"/>
      <w:lang w:val="en-US" w:eastAsia="en-US"/>
    </w:rPr>
  </w:style>
  <w:style w:type="character" w:customStyle="1" w:styleId="MaintenanceEditorChar">
    <w:name w:val="Maintenance Editor Char"/>
    <w:link w:val="MaintenanceEditor"/>
    <w:rsid w:val="008D1DA5"/>
    <w:rPr>
      <w:rFonts w:ascii="Arial" w:eastAsia="Arial Unicode MS" w:hAnsi="Arial" w:cs="Arial"/>
      <w:color w:val="000000"/>
      <w:sz w:val="24"/>
      <w:lang w:val="en-US" w:eastAsia="en-US"/>
    </w:rPr>
  </w:style>
  <w:style w:type="paragraph" w:customStyle="1" w:styleId="ParaClause">
    <w:name w:val="Para Clause"/>
    <w:basedOn w:val="Normal"/>
    <w:rsid w:val="008D1DA5"/>
    <w:pPr>
      <w:spacing w:before="120" w:after="120" w:line="300" w:lineRule="atLeast"/>
      <w:ind w:left="720"/>
      <w:jc w:val="both"/>
    </w:pPr>
    <w:rPr>
      <w:rFonts w:ascii="Arial" w:eastAsia="Arial Unicode MS" w:hAnsi="Arial" w:cs="Arial"/>
      <w:color w:val="000000"/>
      <w:szCs w:val="20"/>
      <w:lang w:eastAsia="en-US"/>
    </w:rPr>
  </w:style>
  <w:style w:type="paragraph" w:customStyle="1" w:styleId="Parasubclause1">
    <w:name w:val="Para subclause 1"/>
    <w:aliases w:val="BIWS Heading 2"/>
    <w:basedOn w:val="Normal"/>
    <w:rsid w:val="008D1DA5"/>
    <w:pPr>
      <w:spacing w:before="240" w:after="120" w:line="300" w:lineRule="atLeast"/>
      <w:ind w:left="720"/>
      <w:jc w:val="both"/>
    </w:pPr>
    <w:rPr>
      <w:rFonts w:ascii="Arial" w:eastAsia="Arial Unicode MS" w:hAnsi="Arial" w:cs="Arial"/>
      <w:color w:val="000000"/>
      <w:szCs w:val="20"/>
      <w:lang w:eastAsia="en-US"/>
    </w:rPr>
  </w:style>
  <w:style w:type="paragraph" w:customStyle="1" w:styleId="Untitledsubclause1">
    <w:name w:val="Untitled subclause 1"/>
    <w:basedOn w:val="Normal"/>
    <w:rsid w:val="008D1DA5"/>
    <w:pPr>
      <w:numPr>
        <w:ilvl w:val="1"/>
        <w:numId w:val="22"/>
      </w:numPr>
      <w:spacing w:before="280" w:after="120" w:line="300" w:lineRule="atLeast"/>
      <w:jc w:val="both"/>
      <w:outlineLvl w:val="1"/>
    </w:pPr>
    <w:rPr>
      <w:rFonts w:ascii="Arial" w:eastAsia="Arial Unicode MS" w:hAnsi="Arial" w:cs="Arial"/>
      <w:color w:val="000000"/>
      <w:szCs w:val="20"/>
      <w:lang w:eastAsia="en-US"/>
    </w:rPr>
  </w:style>
  <w:style w:type="paragraph" w:customStyle="1" w:styleId="Parasubclause2">
    <w:name w:val="Para subclause 2"/>
    <w:aliases w:val="BIWS Heading 3"/>
    <w:basedOn w:val="Normal"/>
    <w:rsid w:val="008D1DA5"/>
    <w:pPr>
      <w:spacing w:after="240" w:line="300" w:lineRule="atLeast"/>
      <w:ind w:left="1559"/>
      <w:jc w:val="both"/>
    </w:pPr>
    <w:rPr>
      <w:rFonts w:ascii="Arial" w:eastAsia="Arial Unicode MS" w:hAnsi="Arial" w:cs="Arial"/>
      <w:color w:val="000000"/>
      <w:szCs w:val="20"/>
      <w:lang w:eastAsia="en-US"/>
    </w:rPr>
  </w:style>
  <w:style w:type="paragraph" w:customStyle="1" w:styleId="Untitledsubclause2">
    <w:name w:val="Untitled subclause 2"/>
    <w:basedOn w:val="Normal"/>
    <w:rsid w:val="008D1DA5"/>
    <w:pPr>
      <w:numPr>
        <w:ilvl w:val="2"/>
        <w:numId w:val="22"/>
      </w:numPr>
      <w:spacing w:after="120" w:line="300" w:lineRule="atLeast"/>
      <w:jc w:val="both"/>
      <w:outlineLvl w:val="2"/>
    </w:pPr>
    <w:rPr>
      <w:rFonts w:ascii="Arial" w:eastAsia="Arial Unicode MS" w:hAnsi="Arial" w:cs="Arial"/>
      <w:color w:val="000000"/>
      <w:szCs w:val="20"/>
      <w:lang w:eastAsia="en-US"/>
    </w:rPr>
  </w:style>
  <w:style w:type="paragraph" w:customStyle="1" w:styleId="Parasubclause3">
    <w:name w:val="Para subclause 3"/>
    <w:aliases w:val="BIWS Heading 4"/>
    <w:basedOn w:val="Normal"/>
    <w:next w:val="Untitledsubclause2"/>
    <w:rsid w:val="008D1DA5"/>
    <w:pPr>
      <w:spacing w:after="120" w:line="300" w:lineRule="atLeast"/>
      <w:ind w:left="2268"/>
      <w:jc w:val="both"/>
    </w:pPr>
    <w:rPr>
      <w:rFonts w:ascii="Arial" w:eastAsia="Arial Unicode MS" w:hAnsi="Arial" w:cs="Arial"/>
      <w:color w:val="000000"/>
      <w:szCs w:val="20"/>
      <w:lang w:eastAsia="en-US"/>
    </w:rPr>
  </w:style>
  <w:style w:type="paragraph" w:customStyle="1" w:styleId="Untitledsubclause3">
    <w:name w:val="Untitled subclause 3"/>
    <w:basedOn w:val="Normal"/>
    <w:rsid w:val="008D1DA5"/>
    <w:pPr>
      <w:numPr>
        <w:ilvl w:val="3"/>
        <w:numId w:val="22"/>
      </w:numPr>
      <w:tabs>
        <w:tab w:val="left" w:pos="2261"/>
      </w:tabs>
      <w:spacing w:after="120" w:line="300" w:lineRule="atLeast"/>
      <w:jc w:val="both"/>
      <w:outlineLvl w:val="3"/>
    </w:pPr>
    <w:rPr>
      <w:rFonts w:ascii="Arial" w:eastAsia="Arial Unicode MS" w:hAnsi="Arial" w:cs="Arial"/>
      <w:color w:val="000000"/>
      <w:szCs w:val="20"/>
      <w:lang w:eastAsia="en-US"/>
    </w:rPr>
  </w:style>
  <w:style w:type="paragraph" w:customStyle="1" w:styleId="Parasubclause4">
    <w:name w:val="Para subclause 4"/>
    <w:aliases w:val="BIWS Heading 5"/>
    <w:basedOn w:val="Parasubclause3"/>
    <w:rsid w:val="008D1DA5"/>
    <w:pPr>
      <w:spacing w:after="240"/>
      <w:ind w:left="3028"/>
    </w:pPr>
    <w:rPr>
      <w:color w:val="000000"/>
    </w:rPr>
  </w:style>
  <w:style w:type="paragraph" w:customStyle="1" w:styleId="Untitledsubclause4">
    <w:name w:val="Untitled subclause 4"/>
    <w:basedOn w:val="Normal"/>
    <w:rsid w:val="008D1DA5"/>
    <w:pPr>
      <w:numPr>
        <w:ilvl w:val="4"/>
        <w:numId w:val="22"/>
      </w:numPr>
      <w:spacing w:after="120" w:line="300" w:lineRule="atLeast"/>
      <w:jc w:val="both"/>
      <w:outlineLvl w:val="4"/>
    </w:pPr>
    <w:rPr>
      <w:rFonts w:ascii="Arial" w:eastAsia="Arial Unicode MS" w:hAnsi="Arial" w:cs="Arial"/>
      <w:color w:val="000000"/>
      <w:szCs w:val="20"/>
      <w:lang w:eastAsia="en-US"/>
    </w:rPr>
  </w:style>
  <w:style w:type="paragraph" w:customStyle="1" w:styleId="Para">
    <w:name w:val="Para"/>
    <w:aliases w:val="PLC Style - Normal"/>
    <w:basedOn w:val="Normal"/>
    <w:rsid w:val="008D1DA5"/>
    <w:pPr>
      <w:spacing w:after="120" w:line="300" w:lineRule="atLeast"/>
      <w:jc w:val="both"/>
    </w:pPr>
    <w:rPr>
      <w:rFonts w:ascii="Arial" w:eastAsia="Arial Unicode MS" w:hAnsi="Arial" w:cs="Arial"/>
      <w:color w:val="000000"/>
      <w:szCs w:val="20"/>
      <w:lang w:eastAsia="en-US"/>
    </w:rPr>
  </w:style>
  <w:style w:type="paragraph" w:customStyle="1" w:styleId="Parties">
    <w:name w:val="Parties"/>
    <w:aliases w:val="(1) Parties"/>
    <w:basedOn w:val="Normal"/>
    <w:rsid w:val="008D1DA5"/>
    <w:pPr>
      <w:numPr>
        <w:numId w:val="5"/>
      </w:numPr>
      <w:spacing w:before="120" w:after="120" w:line="300" w:lineRule="atLeast"/>
      <w:jc w:val="both"/>
    </w:pPr>
    <w:rPr>
      <w:rFonts w:ascii="Arial" w:eastAsia="Arial Unicode MS" w:hAnsi="Arial" w:cs="Arial"/>
      <w:color w:val="000000"/>
      <w:szCs w:val="20"/>
      <w:lang w:eastAsia="en-US"/>
    </w:rPr>
  </w:style>
  <w:style w:type="paragraph" w:customStyle="1" w:styleId="ResourceHistoryAuthor">
    <w:name w:val="Resource History Author"/>
    <w:link w:val="ResourceHistoryAuthorChar"/>
    <w:rsid w:val="008D1DA5"/>
    <w:pPr>
      <w:spacing w:after="120" w:line="240" w:lineRule="auto"/>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8D1DA5"/>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8D1DA5"/>
    <w:pPr>
      <w:spacing w:after="120" w:line="240" w:lineRule="auto"/>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8D1DA5"/>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8D1DA5"/>
    <w:pPr>
      <w:spacing w:after="120" w:line="240" w:lineRule="auto"/>
    </w:pPr>
    <w:rPr>
      <w:rFonts w:ascii="Verdana" w:eastAsia="Times New Roman" w:hAnsi="Verdana" w:cs="Verdana"/>
      <w:color w:val="000000"/>
      <w:sz w:val="18"/>
      <w:szCs w:val="24"/>
      <w:lang w:val="en-US" w:eastAsia="en-US"/>
    </w:rPr>
  </w:style>
  <w:style w:type="character" w:customStyle="1" w:styleId="ResourceHistoryDescChar">
    <w:name w:val="Resource History Desc Char"/>
    <w:link w:val="ResourceHistoryDesc"/>
    <w:rsid w:val="008D1DA5"/>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8D1DA5"/>
    <w:pPr>
      <w:spacing w:after="120" w:line="240" w:lineRule="auto"/>
    </w:pPr>
    <w:rPr>
      <w:rFonts w:ascii="Arial" w:eastAsia="Arial Unicode MS" w:hAnsi="Arial" w:cs="Arial"/>
      <w:b/>
      <w:bCs/>
      <w:color w:val="000000"/>
      <w:sz w:val="24"/>
      <w:lang w:val="en-US" w:eastAsia="en-US"/>
    </w:rPr>
  </w:style>
  <w:style w:type="character" w:customStyle="1" w:styleId="ResourceHistoryTitleChar">
    <w:name w:val="Resource History Title Char"/>
    <w:link w:val="ResourceHistoryTitle"/>
    <w:rsid w:val="008D1DA5"/>
    <w:rPr>
      <w:rFonts w:ascii="Arial" w:eastAsia="Arial Unicode MS" w:hAnsi="Arial" w:cs="Arial"/>
      <w:b/>
      <w:bCs/>
      <w:color w:val="000000"/>
      <w:sz w:val="24"/>
      <w:lang w:val="en-US" w:eastAsia="en-US"/>
    </w:rPr>
  </w:style>
  <w:style w:type="paragraph" w:customStyle="1" w:styleId="ResourceType">
    <w:name w:val="Resource Type"/>
    <w:link w:val="ResourceTypeChar"/>
    <w:rsid w:val="008D1DA5"/>
    <w:pPr>
      <w:spacing w:after="120" w:line="240" w:lineRule="auto"/>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8D1DA5"/>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8D1DA5"/>
    <w:pPr>
      <w:numPr>
        <w:numId w:val="6"/>
      </w:numPr>
      <w:spacing w:before="240" w:after="360" w:line="300" w:lineRule="atLeast"/>
      <w:jc w:val="both"/>
    </w:pPr>
    <w:rPr>
      <w:rFonts w:ascii="Arial" w:eastAsia="Arial Unicode MS" w:hAnsi="Arial" w:cs="Arial"/>
      <w:b/>
      <w:color w:val="000000"/>
      <w:kern w:val="28"/>
      <w:szCs w:val="20"/>
      <w:lang w:eastAsia="en-US"/>
    </w:rPr>
  </w:style>
  <w:style w:type="paragraph" w:customStyle="1" w:styleId="ScheduleHeading">
    <w:name w:val="Schedule Heading"/>
    <w:aliases w:val="Sch   main head"/>
    <w:basedOn w:val="Normal"/>
    <w:next w:val="Normal"/>
    <w:autoRedefine/>
    <w:rsid w:val="008D1DA5"/>
    <w:pPr>
      <w:keepNext/>
      <w:pageBreakBefore/>
      <w:numPr>
        <w:numId w:val="7"/>
      </w:numPr>
      <w:spacing w:before="240" w:after="360" w:line="300" w:lineRule="atLeast"/>
      <w:jc w:val="center"/>
      <w:outlineLvl w:val="0"/>
    </w:pPr>
    <w:rPr>
      <w:rFonts w:ascii="Arial" w:eastAsia="Arial Unicode MS" w:hAnsi="Arial" w:cs="Arial"/>
      <w:b/>
      <w:color w:val="000000"/>
      <w:kern w:val="28"/>
      <w:szCs w:val="20"/>
      <w:lang w:eastAsia="en-US"/>
    </w:rPr>
  </w:style>
  <w:style w:type="paragraph" w:customStyle="1" w:styleId="SectionHeading">
    <w:name w:val="Section Heading"/>
    <w:aliases w:val="1stIntroHeadings"/>
    <w:basedOn w:val="Normal"/>
    <w:next w:val="Normal"/>
    <w:rsid w:val="008D1DA5"/>
    <w:pPr>
      <w:tabs>
        <w:tab w:val="left" w:pos="709"/>
      </w:tabs>
      <w:spacing w:before="120" w:after="120" w:line="300" w:lineRule="atLeast"/>
      <w:jc w:val="both"/>
    </w:pPr>
    <w:rPr>
      <w:rFonts w:ascii="Arial" w:eastAsia="Arial Unicode MS" w:hAnsi="Arial" w:cs="Arial"/>
      <w:b/>
      <w:smallCaps/>
      <w:color w:val="000000"/>
      <w:sz w:val="24"/>
      <w:szCs w:val="20"/>
      <w:lang w:eastAsia="en-US"/>
    </w:rPr>
  </w:style>
  <w:style w:type="paragraph" w:customStyle="1" w:styleId="Shortquestion">
    <w:name w:val="Shortquestion"/>
    <w:basedOn w:val="Normal"/>
    <w:rsid w:val="008D1DA5"/>
    <w:pPr>
      <w:spacing w:after="120" w:line="300" w:lineRule="atLeast"/>
      <w:jc w:val="both"/>
    </w:pPr>
    <w:rPr>
      <w:rFonts w:ascii="Arial" w:eastAsia="Arial Unicode MS" w:hAnsi="Arial" w:cs="Arial"/>
      <w:color w:val="000000"/>
      <w:szCs w:val="20"/>
      <w:lang w:eastAsia="en-US"/>
    </w:rPr>
  </w:style>
  <w:style w:type="paragraph" w:customStyle="1" w:styleId="SpeedreadPara">
    <w:name w:val="Speedread Para"/>
    <w:basedOn w:val="Normal"/>
    <w:rsid w:val="008D1DA5"/>
    <w:pPr>
      <w:spacing w:after="120" w:line="300" w:lineRule="atLeast"/>
      <w:jc w:val="both"/>
    </w:pPr>
    <w:rPr>
      <w:rFonts w:ascii="Arial" w:eastAsia="Arial Unicode MS" w:hAnsi="Arial" w:cs="Arial"/>
      <w:color w:val="000000"/>
      <w:szCs w:val="20"/>
      <w:lang w:eastAsia="en-US"/>
    </w:rPr>
  </w:style>
  <w:style w:type="paragraph" w:customStyle="1" w:styleId="SpeedreadSection1Para">
    <w:name w:val="Speedread Section1 Para"/>
    <w:basedOn w:val="Normal"/>
    <w:rsid w:val="008D1DA5"/>
    <w:pPr>
      <w:spacing w:after="120" w:line="300" w:lineRule="atLeast"/>
      <w:jc w:val="both"/>
    </w:pPr>
    <w:rPr>
      <w:rFonts w:ascii="Arial" w:eastAsia="Arial Unicode MS" w:hAnsi="Arial" w:cs="Arial"/>
      <w:color w:val="000000"/>
      <w:szCs w:val="20"/>
      <w:lang w:eastAsia="en-US"/>
    </w:rPr>
  </w:style>
  <w:style w:type="paragraph" w:customStyle="1" w:styleId="SpeedreadSection1Text">
    <w:name w:val="Speedread Section1 Text"/>
    <w:basedOn w:val="Normal"/>
    <w:rsid w:val="008D1DA5"/>
    <w:pPr>
      <w:spacing w:after="120" w:line="300" w:lineRule="atLeast"/>
      <w:jc w:val="both"/>
    </w:pPr>
    <w:rPr>
      <w:rFonts w:ascii="Arial" w:eastAsia="Arial Unicode MS" w:hAnsi="Arial" w:cs="Arial"/>
      <w:color w:val="000000"/>
      <w:szCs w:val="20"/>
      <w:lang w:eastAsia="en-US"/>
    </w:rPr>
  </w:style>
  <w:style w:type="paragraph" w:customStyle="1" w:styleId="SpeedreadText">
    <w:name w:val="Speedread Text"/>
    <w:basedOn w:val="Normal"/>
    <w:rsid w:val="008D1DA5"/>
    <w:pPr>
      <w:spacing w:after="120" w:line="300" w:lineRule="atLeast"/>
      <w:jc w:val="both"/>
    </w:pPr>
    <w:rPr>
      <w:rFonts w:ascii="Arial" w:eastAsia="Arial Unicode MS" w:hAnsi="Arial" w:cs="Arial"/>
      <w:color w:val="000000"/>
      <w:szCs w:val="20"/>
      <w:lang w:eastAsia="en-US"/>
    </w:rPr>
  </w:style>
  <w:style w:type="paragraph" w:customStyle="1" w:styleId="SpeedreadTitle">
    <w:name w:val="Speedread Title"/>
    <w:basedOn w:val="Normal"/>
    <w:rsid w:val="008D1DA5"/>
    <w:pPr>
      <w:spacing w:after="120" w:line="300" w:lineRule="atLeast"/>
      <w:jc w:val="both"/>
    </w:pPr>
    <w:rPr>
      <w:rFonts w:ascii="Arial" w:eastAsia="Arial Unicode MS" w:hAnsi="Arial" w:cs="Arial"/>
      <w:b/>
      <w:color w:val="000000"/>
      <w:sz w:val="36"/>
      <w:szCs w:val="20"/>
      <w:lang w:eastAsia="en-US"/>
    </w:rPr>
  </w:style>
  <w:style w:type="paragraph" w:customStyle="1" w:styleId="TemplateType">
    <w:name w:val="Template Type"/>
    <w:link w:val="TemplateTypeChar"/>
    <w:rsid w:val="008D1DA5"/>
    <w:pPr>
      <w:spacing w:after="120" w:line="240" w:lineRule="auto"/>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8D1DA5"/>
    <w:rPr>
      <w:rFonts w:ascii="Arial" w:eastAsia="Arial Unicode MS" w:hAnsi="Arial" w:cs="Arial"/>
      <w:color w:val="000000"/>
      <w:sz w:val="24"/>
      <w:szCs w:val="24"/>
      <w:lang w:val="en-US" w:eastAsia="en-US"/>
    </w:rPr>
  </w:style>
  <w:style w:type="paragraph" w:styleId="Title">
    <w:name w:val="Title"/>
    <w:link w:val="TitleChar"/>
    <w:rsid w:val="008D1DA5"/>
    <w:pPr>
      <w:spacing w:after="120" w:line="240" w:lineRule="auto"/>
    </w:pPr>
    <w:rPr>
      <w:rFonts w:ascii="Arial" w:eastAsia="Arial Unicode MS" w:hAnsi="Arial" w:cs="Arial"/>
      <w:color w:val="000000"/>
      <w:sz w:val="24"/>
      <w:lang w:val="en-US" w:eastAsia="en-US"/>
    </w:rPr>
  </w:style>
  <w:style w:type="character" w:customStyle="1" w:styleId="TitleChar">
    <w:name w:val="Title Char"/>
    <w:link w:val="Title"/>
    <w:rsid w:val="008D1DA5"/>
    <w:rPr>
      <w:rFonts w:ascii="Arial" w:eastAsia="Arial Unicode MS" w:hAnsi="Arial" w:cs="Arial"/>
      <w:color w:val="000000"/>
      <w:sz w:val="24"/>
      <w:lang w:val="en-US" w:eastAsia="en-US"/>
    </w:rPr>
  </w:style>
  <w:style w:type="paragraph" w:styleId="Footer">
    <w:name w:val="footer"/>
    <w:basedOn w:val="Normal"/>
    <w:link w:val="FooterChar"/>
    <w:rsid w:val="008D1DA5"/>
    <w:pPr>
      <w:tabs>
        <w:tab w:val="center" w:pos="4153"/>
        <w:tab w:val="right" w:pos="8306"/>
      </w:tabs>
      <w:spacing w:after="240" w:line="300" w:lineRule="atLeast"/>
      <w:jc w:val="both"/>
    </w:pPr>
    <w:rPr>
      <w:rFonts w:ascii="Times New Roman" w:eastAsia="Times New Roman" w:hAnsi="Times New Roman" w:cs="Times New Roman"/>
      <w:color w:val="000000"/>
      <w:szCs w:val="20"/>
      <w:lang w:eastAsia="en-US"/>
    </w:rPr>
  </w:style>
  <w:style w:type="character" w:customStyle="1" w:styleId="FooterChar">
    <w:name w:val="Footer Char"/>
    <w:basedOn w:val="DefaultParagraphFont"/>
    <w:link w:val="Footer"/>
    <w:rsid w:val="008D1DA5"/>
    <w:rPr>
      <w:rFonts w:ascii="Times New Roman" w:eastAsia="Times New Roman" w:hAnsi="Times New Roman" w:cs="Times New Roman"/>
      <w:color w:val="000000"/>
      <w:szCs w:val="20"/>
      <w:lang w:eastAsia="en-US"/>
    </w:rPr>
  </w:style>
  <w:style w:type="character" w:styleId="Hyperlink">
    <w:name w:val="Hyperlink"/>
    <w:basedOn w:val="DefaultParagraphFont"/>
    <w:uiPriority w:val="99"/>
    <w:rsid w:val="008D1DA5"/>
    <w:rPr>
      <w:i/>
      <w:color w:val="000000"/>
      <w:u w:val="single"/>
    </w:rPr>
  </w:style>
  <w:style w:type="paragraph" w:customStyle="1" w:styleId="Bullet4">
    <w:name w:val="Bullet4"/>
    <w:basedOn w:val="Normal"/>
    <w:rsid w:val="008D1DA5"/>
    <w:pPr>
      <w:numPr>
        <w:numId w:val="8"/>
      </w:numPr>
      <w:spacing w:after="240" w:line="240" w:lineRule="auto"/>
      <w:jc w:val="both"/>
    </w:pPr>
    <w:rPr>
      <w:rFonts w:ascii="Times New Roman" w:eastAsia="Times New Roman" w:hAnsi="Times New Roman" w:cs="Times New Roman"/>
      <w:color w:val="000000"/>
      <w:szCs w:val="20"/>
      <w:lang w:eastAsia="en-US"/>
    </w:rPr>
  </w:style>
  <w:style w:type="paragraph" w:customStyle="1" w:styleId="Paragraph">
    <w:name w:val="Paragraph"/>
    <w:basedOn w:val="Normal"/>
    <w:link w:val="ParagraphChar"/>
    <w:qFormat/>
    <w:rsid w:val="008D1DA5"/>
    <w:pPr>
      <w:spacing w:after="120" w:line="300" w:lineRule="atLeast"/>
      <w:jc w:val="both"/>
    </w:pPr>
    <w:rPr>
      <w:rFonts w:ascii="Arial" w:eastAsia="Arial Unicode MS" w:hAnsi="Arial" w:cs="Arial"/>
      <w:color w:val="000000"/>
      <w:szCs w:val="20"/>
      <w:lang w:eastAsia="en-US"/>
    </w:rPr>
  </w:style>
  <w:style w:type="paragraph" w:customStyle="1" w:styleId="IgnoredTemplateText">
    <w:name w:val="Ignored Template Text"/>
    <w:link w:val="IgnoredTemplateTextChar"/>
    <w:rsid w:val="008D1DA5"/>
    <w:pPr>
      <w:pBdr>
        <w:top w:val="single" w:sz="4" w:space="1" w:color="auto"/>
        <w:left w:val="single" w:sz="4" w:space="4" w:color="auto"/>
        <w:bottom w:val="single" w:sz="4" w:space="1" w:color="auto"/>
        <w:right w:val="single" w:sz="4" w:space="4" w:color="auto"/>
      </w:pBdr>
      <w:shd w:val="pct15" w:color="auto" w:fill="FBD4B4" w:themeFill="accent6" w:themeFillTint="66"/>
      <w:spacing w:after="120" w:line="240" w:lineRule="auto"/>
    </w:pPr>
    <w:rPr>
      <w:rFonts w:ascii="Arial" w:eastAsia="Arial Unicode MS" w:hAnsi="Arial" w:cs="Arial"/>
      <w:b/>
      <w:i/>
      <w:color w:val="000000"/>
      <w:szCs w:val="18"/>
      <w:lang w:val="en-US" w:eastAsia="en-US"/>
    </w:rPr>
  </w:style>
  <w:style w:type="character" w:customStyle="1" w:styleId="IgnoredTemplateTextChar">
    <w:name w:val="Ignored Template Text Char"/>
    <w:link w:val="IgnoredTemplateText"/>
    <w:rsid w:val="008D1DA5"/>
    <w:rPr>
      <w:rFonts w:ascii="Arial" w:eastAsia="Arial Unicode MS" w:hAnsi="Arial" w:cs="Arial"/>
      <w:b/>
      <w:i/>
      <w:color w:val="000000"/>
      <w:szCs w:val="18"/>
      <w:shd w:val="pct15" w:color="auto" w:fill="FBD4B4" w:themeFill="accent6" w:themeFillTint="66"/>
      <w:lang w:val="en-US" w:eastAsia="en-US"/>
    </w:rPr>
  </w:style>
  <w:style w:type="paragraph" w:customStyle="1" w:styleId="InternalTOC">
    <w:name w:val="Internal TOC"/>
    <w:rsid w:val="008D1DA5"/>
    <w:pPr>
      <w:spacing w:after="120" w:line="240" w:lineRule="auto"/>
    </w:pPr>
    <w:rPr>
      <w:rFonts w:ascii="Arial" w:eastAsia="Arial Unicode MS" w:hAnsi="Arial" w:cs="Arial"/>
      <w:color w:val="000000"/>
      <w:lang w:val="en-US" w:eastAsia="en-US"/>
    </w:rPr>
  </w:style>
  <w:style w:type="paragraph" w:customStyle="1" w:styleId="HeadingLevel1">
    <w:name w:val="Heading Level 1"/>
    <w:basedOn w:val="Normal"/>
    <w:next w:val="Paragraph"/>
    <w:rsid w:val="008D1DA5"/>
    <w:pPr>
      <w:keepNext/>
      <w:spacing w:after="120" w:line="300" w:lineRule="atLeast"/>
      <w:jc w:val="both"/>
      <w:outlineLvl w:val="1"/>
    </w:pPr>
    <w:rPr>
      <w:rFonts w:ascii="Arial" w:eastAsia="Arial Unicode MS" w:hAnsi="Arial" w:cs="Arial"/>
      <w:b/>
      <w:color w:val="000000"/>
      <w:sz w:val="36"/>
      <w:szCs w:val="20"/>
      <w:lang w:eastAsia="en-US"/>
    </w:rPr>
  </w:style>
  <w:style w:type="paragraph" w:customStyle="1" w:styleId="HeadingLevel2">
    <w:name w:val="Heading Level 2"/>
    <w:basedOn w:val="Normal"/>
    <w:next w:val="Paragraph"/>
    <w:rsid w:val="008D1DA5"/>
    <w:pPr>
      <w:keepNext/>
      <w:spacing w:after="120" w:line="300" w:lineRule="atLeast"/>
      <w:jc w:val="both"/>
      <w:outlineLvl w:val="2"/>
    </w:pPr>
    <w:rPr>
      <w:rFonts w:ascii="Arial" w:eastAsia="Arial Unicode MS" w:hAnsi="Arial" w:cs="Arial"/>
      <w:b/>
      <w:color w:val="000000"/>
      <w:sz w:val="28"/>
      <w:szCs w:val="20"/>
      <w:lang w:eastAsia="en-US"/>
    </w:rPr>
  </w:style>
  <w:style w:type="paragraph" w:customStyle="1" w:styleId="HeadingLevel3">
    <w:name w:val="Heading Level 3"/>
    <w:basedOn w:val="Normal"/>
    <w:next w:val="Paragraph"/>
    <w:rsid w:val="008D1DA5"/>
    <w:pPr>
      <w:keepNext/>
      <w:spacing w:after="120" w:line="300" w:lineRule="atLeast"/>
      <w:jc w:val="both"/>
      <w:outlineLvl w:val="3"/>
    </w:pPr>
    <w:rPr>
      <w:rFonts w:ascii="Arial" w:eastAsia="Arial Unicode MS" w:hAnsi="Arial" w:cs="Arial"/>
      <w:b/>
      <w:i/>
      <w:color w:val="000000"/>
      <w:sz w:val="28"/>
      <w:szCs w:val="20"/>
      <w:lang w:eastAsia="en-US"/>
    </w:rPr>
  </w:style>
  <w:style w:type="paragraph" w:styleId="Header">
    <w:name w:val="header"/>
    <w:basedOn w:val="Normal"/>
    <w:link w:val="HeaderChar"/>
    <w:uiPriority w:val="99"/>
    <w:unhideWhenUsed/>
    <w:rsid w:val="008D1DA5"/>
    <w:pPr>
      <w:tabs>
        <w:tab w:val="center" w:pos="4513"/>
        <w:tab w:val="right" w:pos="9026"/>
      </w:tabs>
      <w:spacing w:after="0" w:line="240" w:lineRule="auto"/>
    </w:pPr>
    <w:rPr>
      <w:color w:val="000000"/>
    </w:rPr>
  </w:style>
  <w:style w:type="character" w:customStyle="1" w:styleId="HeaderChar">
    <w:name w:val="Header Char"/>
    <w:basedOn w:val="DefaultParagraphFont"/>
    <w:link w:val="Header"/>
    <w:uiPriority w:val="99"/>
    <w:rsid w:val="008D1DA5"/>
    <w:rPr>
      <w:color w:val="000000"/>
    </w:rPr>
  </w:style>
  <w:style w:type="character" w:styleId="PlaceholderText">
    <w:name w:val="Placeholder Text"/>
    <w:basedOn w:val="DefaultParagraphFont"/>
    <w:uiPriority w:val="99"/>
    <w:rsid w:val="008D1DA5"/>
    <w:rPr>
      <w:color w:val="000000"/>
    </w:rPr>
  </w:style>
  <w:style w:type="paragraph" w:styleId="BalloonText">
    <w:name w:val="Balloon Text"/>
    <w:basedOn w:val="Normal"/>
    <w:link w:val="BalloonTextChar"/>
    <w:uiPriority w:val="99"/>
    <w:semiHidden/>
    <w:unhideWhenUsed/>
    <w:rsid w:val="008D1DA5"/>
    <w:pPr>
      <w:spacing w:after="0" w:line="240" w:lineRule="auto"/>
    </w:pPr>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rsid w:val="008D1DA5"/>
    <w:rPr>
      <w:rFonts w:ascii="Tahoma" w:hAnsi="Tahoma" w:cs="Tahoma"/>
      <w:color w:val="000000"/>
      <w:sz w:val="16"/>
      <w:szCs w:val="16"/>
    </w:rPr>
  </w:style>
  <w:style w:type="paragraph" w:customStyle="1" w:styleId="PinPointRef">
    <w:name w:val="PinPoint Ref"/>
    <w:link w:val="PinPointRefChar"/>
    <w:qFormat/>
    <w:rsid w:val="008D1DA5"/>
    <w:pPr>
      <w:spacing w:after="0" w:line="240" w:lineRule="auto"/>
    </w:pPr>
    <w:rPr>
      <w:rFonts w:ascii="Times New Roman" w:eastAsia="Times New Roman" w:hAnsi="Times New Roman" w:cs="Times New Roman"/>
      <w:b/>
      <w:vanish/>
      <w:color w:val="000000"/>
      <w:sz w:val="18"/>
      <w:szCs w:val="20"/>
      <w:lang w:eastAsia="en-US"/>
    </w:rPr>
  </w:style>
  <w:style w:type="character" w:customStyle="1" w:styleId="PinPointRefChar">
    <w:name w:val="PinPoint Ref Char"/>
    <w:basedOn w:val="DefaultParagraphFont"/>
    <w:link w:val="PinPointRef"/>
    <w:rsid w:val="008D1DA5"/>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8D1DA5"/>
    <w:pPr>
      <w:spacing w:before="120" w:after="0" w:line="240" w:lineRule="auto"/>
      <w:ind w:left="720"/>
    </w:pPr>
    <w:rPr>
      <w:rFonts w:ascii="Arial" w:eastAsia="Arial Unicode MS" w:hAnsi="Arial" w:cs="Arial"/>
      <w:color w:val="000000"/>
      <w:sz w:val="18"/>
      <w:szCs w:val="20"/>
      <w:lang w:eastAsia="en-US"/>
    </w:rPr>
  </w:style>
  <w:style w:type="character" w:customStyle="1" w:styleId="BlockQuoteChar">
    <w:name w:val="Block Quote Char"/>
    <w:basedOn w:val="DefaultParagraphFont"/>
    <w:link w:val="BlockQuote"/>
    <w:rsid w:val="008D1DA5"/>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8D1DA5"/>
    <w:pPr>
      <w:spacing w:after="120" w:line="240" w:lineRule="auto"/>
      <w:ind w:left="357"/>
      <w:jc w:val="both"/>
    </w:pPr>
    <w:rPr>
      <w:rFonts w:ascii="Arial" w:eastAsia="Arial Unicode MS" w:hAnsi="Arial" w:cs="Arial"/>
      <w:color w:val="000000"/>
      <w:szCs w:val="24"/>
      <w:lang w:val="en-US" w:eastAsia="en-US"/>
    </w:rPr>
  </w:style>
  <w:style w:type="paragraph" w:customStyle="1" w:styleId="ListParagraphLevel2">
    <w:name w:val="List Paragraph Level 2"/>
    <w:link w:val="ListParagraphLevel2Char"/>
    <w:qFormat/>
    <w:rsid w:val="008D1DA5"/>
    <w:pPr>
      <w:spacing w:after="120" w:line="240" w:lineRule="auto"/>
      <w:ind w:left="1077"/>
      <w:jc w:val="both"/>
    </w:pPr>
    <w:rPr>
      <w:rFonts w:ascii="Arial" w:eastAsia="Arial Unicode MS" w:hAnsi="Arial" w:cs="Arial"/>
      <w:color w:val="000000"/>
      <w:szCs w:val="24"/>
      <w:lang w:val="en-US" w:eastAsia="en-US"/>
    </w:rPr>
  </w:style>
  <w:style w:type="character" w:customStyle="1" w:styleId="ListParagraphLevel1Char">
    <w:name w:val="List Paragraph Level 1 Char"/>
    <w:basedOn w:val="DefaultParagraphFont"/>
    <w:link w:val="ListParagraphLevel1"/>
    <w:rsid w:val="008D1DA5"/>
    <w:rPr>
      <w:rFonts w:ascii="Arial" w:eastAsia="Arial Unicode MS" w:hAnsi="Arial" w:cs="Arial"/>
      <w:color w:val="000000"/>
      <w:szCs w:val="24"/>
      <w:lang w:val="en-US" w:eastAsia="en-US"/>
    </w:rPr>
  </w:style>
  <w:style w:type="character" w:customStyle="1" w:styleId="ListParagraphLevel2Char">
    <w:name w:val="List Paragraph Level 2 Char"/>
    <w:basedOn w:val="DefaultParagraphFont"/>
    <w:link w:val="ListParagraphLevel2"/>
    <w:rsid w:val="008D1DA5"/>
    <w:rPr>
      <w:rFonts w:ascii="Arial" w:eastAsia="Arial Unicode MS" w:hAnsi="Arial" w:cs="Arial"/>
      <w:color w:val="000000"/>
      <w:szCs w:val="24"/>
      <w:lang w:val="en-US" w:eastAsia="en-US"/>
    </w:rPr>
  </w:style>
  <w:style w:type="paragraph" w:customStyle="1" w:styleId="IntroDefault">
    <w:name w:val="Intro Default"/>
    <w:basedOn w:val="Paragraph"/>
    <w:qFormat/>
    <w:rsid w:val="008D1DA5"/>
    <w:rPr>
      <w:color w:val="000000"/>
    </w:rPr>
  </w:style>
  <w:style w:type="paragraph" w:customStyle="1" w:styleId="IntroCustom">
    <w:name w:val="Intro Custom"/>
    <w:basedOn w:val="Paragraph"/>
    <w:qFormat/>
    <w:rsid w:val="008D1DA5"/>
    <w:rPr>
      <w:color w:val="000000"/>
    </w:rPr>
  </w:style>
  <w:style w:type="paragraph" w:customStyle="1" w:styleId="PrecedentType">
    <w:name w:val="Precedent Type"/>
    <w:basedOn w:val="IgnoredSpacing"/>
    <w:qFormat/>
    <w:rsid w:val="008D1DA5"/>
    <w:rPr>
      <w:color w:val="000000"/>
    </w:rPr>
  </w:style>
  <w:style w:type="paragraph" w:customStyle="1" w:styleId="Operative">
    <w:name w:val="Operative"/>
    <w:basedOn w:val="IgnoredSpacing"/>
    <w:qFormat/>
    <w:rsid w:val="008D1DA5"/>
    <w:rPr>
      <w:vanish/>
      <w:color w:val="000000"/>
    </w:rPr>
  </w:style>
  <w:style w:type="paragraph" w:customStyle="1" w:styleId="SpeedreadBulletList1">
    <w:name w:val="Speedread Bullet List 1"/>
    <w:basedOn w:val="BulletList1"/>
    <w:qFormat/>
    <w:rsid w:val="008D1DA5"/>
    <w:rPr>
      <w:color w:val="000000"/>
    </w:rPr>
  </w:style>
  <w:style w:type="paragraph" w:customStyle="1" w:styleId="PartiesTitle">
    <w:name w:val="Parties Title"/>
    <w:basedOn w:val="Paragraph"/>
    <w:qFormat/>
    <w:rsid w:val="008D1DA5"/>
    <w:rPr>
      <w:b/>
      <w:color w:val="000000"/>
    </w:rPr>
  </w:style>
  <w:style w:type="table" w:styleId="TableGrid">
    <w:name w:val="Table Grid"/>
    <w:basedOn w:val="TableNormal"/>
    <w:rsid w:val="008D1DA5"/>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8D1DA5"/>
    <w:pPr>
      <w:numPr>
        <w:numId w:val="9"/>
      </w:numPr>
      <w:shd w:val="clear" w:color="auto" w:fill="D9D9D9" w:themeFill="background1" w:themeFillShade="D9"/>
      <w:spacing w:after="120" w:line="240" w:lineRule="auto"/>
      <w:ind w:left="357" w:hanging="357"/>
      <w:outlineLvl w:val="0"/>
    </w:pPr>
    <w:rPr>
      <w:rFonts w:ascii="Arial" w:eastAsia="Arial Unicode MS" w:hAnsi="Arial" w:cs="Arial"/>
      <w:color w:val="000000"/>
      <w:lang w:val="en-US" w:eastAsia="en-US"/>
    </w:rPr>
  </w:style>
  <w:style w:type="paragraph" w:customStyle="1" w:styleId="BulletList1Pattern">
    <w:name w:val="Bullet List 1 + Pattern"/>
    <w:basedOn w:val="BulletList1"/>
    <w:qFormat/>
    <w:rsid w:val="008D1DA5"/>
    <w:pPr>
      <w:shd w:val="clear" w:color="auto" w:fill="D9D9D9" w:themeFill="background1" w:themeFillShade="D9"/>
      <w:spacing w:after="120" w:line="240" w:lineRule="auto"/>
      <w:ind w:left="714" w:hanging="357"/>
    </w:pPr>
    <w:rPr>
      <w:color w:val="000000"/>
    </w:rPr>
  </w:style>
  <w:style w:type="character" w:customStyle="1" w:styleId="QuestionParagraphChar">
    <w:name w:val="Question Paragraph Char"/>
    <w:basedOn w:val="DefaultParagraphFont"/>
    <w:link w:val="QuestionParagraph"/>
    <w:rsid w:val="008D1DA5"/>
    <w:rPr>
      <w:rFonts w:ascii="Arial" w:eastAsia="Arial Unicode MS" w:hAnsi="Arial" w:cs="Arial"/>
      <w:color w:val="000000"/>
      <w:shd w:val="clear" w:color="auto" w:fill="D9D9D9" w:themeFill="background1" w:themeFillShade="D9"/>
      <w:lang w:val="en-US" w:eastAsia="en-US"/>
    </w:rPr>
  </w:style>
  <w:style w:type="paragraph" w:customStyle="1" w:styleId="BulletList2Pattern">
    <w:name w:val="Bullet List 2 + Pattern"/>
    <w:basedOn w:val="BulletList2"/>
    <w:qFormat/>
    <w:rsid w:val="008D1DA5"/>
    <w:pPr>
      <w:shd w:val="clear" w:color="auto" w:fill="D9D9D9" w:themeFill="background1" w:themeFillShade="D9"/>
      <w:ind w:left="1077"/>
    </w:pPr>
    <w:rPr>
      <w:color w:val="000000"/>
    </w:rPr>
  </w:style>
  <w:style w:type="paragraph" w:customStyle="1" w:styleId="TestimoniumContract">
    <w:name w:val="Testimonium Contract"/>
    <w:basedOn w:val="Paragraph"/>
    <w:qFormat/>
    <w:rsid w:val="008D1DA5"/>
    <w:rPr>
      <w:color w:val="000000"/>
    </w:rPr>
  </w:style>
  <w:style w:type="paragraph" w:customStyle="1" w:styleId="TestimoniumDeed">
    <w:name w:val="Testimonium Deed"/>
    <w:basedOn w:val="Paragraph"/>
    <w:qFormat/>
    <w:rsid w:val="008D1DA5"/>
    <w:rPr>
      <w:color w:val="000000"/>
    </w:rPr>
  </w:style>
  <w:style w:type="paragraph" w:customStyle="1" w:styleId="Titlesubclause2">
    <w:name w:val="Title subclause2"/>
    <w:basedOn w:val="Untitledsubclause2"/>
    <w:qFormat/>
    <w:rsid w:val="008D1DA5"/>
    <w:rPr>
      <w:b/>
      <w:color w:val="000000"/>
    </w:rPr>
  </w:style>
  <w:style w:type="paragraph" w:customStyle="1" w:styleId="Titlesubclause3">
    <w:name w:val="Title subclause3"/>
    <w:basedOn w:val="Untitledsubclause3"/>
    <w:qFormat/>
    <w:rsid w:val="008D1DA5"/>
    <w:rPr>
      <w:b/>
      <w:color w:val="000000"/>
    </w:rPr>
  </w:style>
  <w:style w:type="paragraph" w:customStyle="1" w:styleId="Titlesubclause4">
    <w:name w:val="Title subclause4"/>
    <w:basedOn w:val="Untitledsubclause4"/>
    <w:qFormat/>
    <w:rsid w:val="008D1DA5"/>
    <w:rPr>
      <w:b/>
      <w:color w:val="000000"/>
    </w:rPr>
  </w:style>
  <w:style w:type="paragraph" w:customStyle="1" w:styleId="UntitledClause">
    <w:name w:val="Untitled Clause"/>
    <w:basedOn w:val="TitleClause"/>
    <w:qFormat/>
    <w:rsid w:val="008D1DA5"/>
    <w:pPr>
      <w:spacing w:before="120"/>
    </w:pPr>
    <w:rPr>
      <w:b w:val="0"/>
      <w:color w:val="000000"/>
    </w:rPr>
  </w:style>
  <w:style w:type="paragraph" w:customStyle="1" w:styleId="Titlesubclause1">
    <w:name w:val="Title subclause1"/>
    <w:basedOn w:val="Untitledsubclause1"/>
    <w:qFormat/>
    <w:rsid w:val="008D1DA5"/>
    <w:pPr>
      <w:spacing w:before="120"/>
    </w:pPr>
    <w:rPr>
      <w:b/>
      <w:color w:val="000000"/>
    </w:rPr>
  </w:style>
  <w:style w:type="paragraph" w:customStyle="1" w:styleId="Schedule">
    <w:name w:val="Schedule"/>
    <w:qFormat/>
    <w:rsid w:val="008D1DA5"/>
    <w:pPr>
      <w:numPr>
        <w:ilvl w:val="0"/>
        <w:numId w:val="51"/>
      </w:numPr>
      <w:spacing w:before="240" w:after="240" w:line="240" w:lineRule="atLeast"/>
    </w:pPr>
    <w:rPr>
      <w:rFonts w:ascii="Arial" w:eastAsia="Arial Unicode MS" w:hAnsi="Arial" w:cs="Arial"/>
      <w:b/>
      <w:color w:val="000000"/>
      <w:lang w:val="en-US" w:eastAsia="en-US"/>
    </w:rPr>
  </w:style>
  <w:style w:type="character" w:customStyle="1" w:styleId="Heading1Char">
    <w:name w:val="Heading 1 Char"/>
    <w:basedOn w:val="DefaultParagraphFont"/>
    <w:link w:val="Heading1"/>
    <w:uiPriority w:val="9"/>
    <w:rsid w:val="008D1DA5"/>
    <w:rPr>
      <w:rFonts w:asciiTheme="majorHAnsi" w:eastAsiaTheme="majorEastAsia" w:hAnsiTheme="majorHAnsi" w:cstheme="majorBidi"/>
      <w:b/>
      <w:bCs/>
      <w:color w:val="000000"/>
      <w:sz w:val="28"/>
      <w:szCs w:val="28"/>
    </w:rPr>
  </w:style>
  <w:style w:type="character" w:customStyle="1" w:styleId="Heading2Char">
    <w:name w:val="Heading 2 Char"/>
    <w:basedOn w:val="DefaultParagraphFont"/>
    <w:link w:val="Heading2"/>
    <w:uiPriority w:val="9"/>
    <w:semiHidden/>
    <w:rsid w:val="008D1DA5"/>
    <w:rPr>
      <w:rFonts w:asciiTheme="majorHAnsi" w:eastAsiaTheme="majorEastAsia" w:hAnsiTheme="majorHAnsi" w:cstheme="majorBidi"/>
      <w:b/>
      <w:bCs/>
      <w:color w:val="000000"/>
      <w:sz w:val="26"/>
      <w:szCs w:val="26"/>
    </w:rPr>
  </w:style>
  <w:style w:type="character" w:customStyle="1" w:styleId="Heading3Char">
    <w:name w:val="Heading 3 Char"/>
    <w:basedOn w:val="DefaultParagraphFont"/>
    <w:link w:val="Heading3"/>
    <w:uiPriority w:val="9"/>
    <w:semiHidden/>
    <w:rsid w:val="008D1DA5"/>
    <w:rPr>
      <w:rFonts w:asciiTheme="majorHAnsi" w:eastAsiaTheme="majorEastAsia" w:hAnsiTheme="majorHAnsi" w:cstheme="majorBidi"/>
      <w:b/>
      <w:bCs/>
      <w:color w:val="000000"/>
    </w:rPr>
  </w:style>
  <w:style w:type="character" w:customStyle="1" w:styleId="Heading4Char">
    <w:name w:val="Heading 4 Char"/>
    <w:basedOn w:val="DefaultParagraphFont"/>
    <w:link w:val="Heading4"/>
    <w:uiPriority w:val="9"/>
    <w:semiHidden/>
    <w:rsid w:val="008D1DA5"/>
    <w:rPr>
      <w:rFonts w:asciiTheme="majorHAnsi" w:eastAsiaTheme="majorEastAsia" w:hAnsiTheme="majorHAnsi" w:cstheme="majorBidi"/>
      <w:b/>
      <w:bCs/>
      <w:i/>
      <w:iCs/>
      <w:color w:val="000000"/>
    </w:rPr>
  </w:style>
  <w:style w:type="character" w:customStyle="1" w:styleId="Heading5Char">
    <w:name w:val="Heading 5 Char"/>
    <w:basedOn w:val="DefaultParagraphFont"/>
    <w:link w:val="Heading5"/>
    <w:uiPriority w:val="9"/>
    <w:semiHidden/>
    <w:rsid w:val="008D1DA5"/>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8D1DA5"/>
    <w:rPr>
      <w:rFonts w:asciiTheme="majorHAnsi" w:eastAsiaTheme="majorEastAsia" w:hAnsiTheme="majorHAnsi" w:cstheme="majorBidi"/>
      <w:i/>
      <w:iCs/>
      <w:color w:val="000000"/>
    </w:rPr>
  </w:style>
  <w:style w:type="character" w:customStyle="1" w:styleId="Heading7Char">
    <w:name w:val="Heading 7 Char"/>
    <w:basedOn w:val="DefaultParagraphFont"/>
    <w:link w:val="Heading7"/>
    <w:uiPriority w:val="9"/>
    <w:semiHidden/>
    <w:rsid w:val="008D1DA5"/>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8D1DA5"/>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8D1DA5"/>
    <w:rPr>
      <w:rFonts w:asciiTheme="majorHAnsi" w:eastAsiaTheme="majorEastAsia" w:hAnsiTheme="majorHAnsi" w:cstheme="majorBidi"/>
      <w:i/>
      <w:iCs/>
      <w:color w:val="000000"/>
      <w:sz w:val="20"/>
      <w:szCs w:val="20"/>
    </w:rPr>
  </w:style>
  <w:style w:type="paragraph" w:customStyle="1" w:styleId="ScheduleTitle">
    <w:name w:val="Schedule Title"/>
    <w:basedOn w:val="Paragraph"/>
    <w:qFormat/>
    <w:rsid w:val="008D1DA5"/>
    <w:rPr>
      <w:b/>
      <w:color w:val="000000"/>
    </w:rPr>
  </w:style>
  <w:style w:type="paragraph" w:customStyle="1" w:styleId="Part">
    <w:name w:val="Part"/>
    <w:basedOn w:val="Paragraph"/>
    <w:qFormat/>
    <w:rsid w:val="008D1DA5"/>
    <w:pPr>
      <w:numPr>
        <w:ilvl w:val="0"/>
        <w:numId w:val="55"/>
      </w:numPr>
      <w:spacing w:before="240" w:after="240"/>
      <w:jc w:val="left"/>
    </w:pPr>
    <w:rPr>
      <w:b/>
      <w:color w:val="000000"/>
    </w:rPr>
  </w:style>
  <w:style w:type="paragraph" w:customStyle="1" w:styleId="AnnexTitle">
    <w:name w:val="Annex Title"/>
    <w:basedOn w:val="Paragraph"/>
    <w:next w:val="Paragraph"/>
    <w:qFormat/>
    <w:rsid w:val="008D1DA5"/>
    <w:pPr>
      <w:spacing w:before="240" w:after="240"/>
    </w:pPr>
    <w:rPr>
      <w:b/>
      <w:color w:val="000000"/>
    </w:rPr>
  </w:style>
  <w:style w:type="paragraph" w:customStyle="1" w:styleId="PartTitle">
    <w:name w:val="Part Title"/>
    <w:basedOn w:val="Paragraph"/>
    <w:qFormat/>
    <w:rsid w:val="008D1DA5"/>
    <w:rPr>
      <w:b/>
      <w:color w:val="000000"/>
    </w:rPr>
  </w:style>
  <w:style w:type="paragraph" w:customStyle="1" w:styleId="Testimonium">
    <w:name w:val="Testimonium"/>
    <w:basedOn w:val="Paragraph"/>
    <w:qFormat/>
    <w:rsid w:val="008D1DA5"/>
    <w:rPr>
      <w:color w:val="000000"/>
    </w:rPr>
  </w:style>
  <w:style w:type="character" w:customStyle="1" w:styleId="apple-converted-space">
    <w:name w:val="apple-converted-space"/>
    <w:basedOn w:val="DefaultParagraphFont"/>
    <w:rsid w:val="008D1DA5"/>
    <w:rPr>
      <w:color w:val="000000"/>
    </w:rPr>
  </w:style>
  <w:style w:type="character" w:styleId="Emphasis">
    <w:name w:val="Emphasis"/>
    <w:basedOn w:val="DefaultParagraphFont"/>
    <w:uiPriority w:val="20"/>
    <w:qFormat/>
    <w:rsid w:val="008D1DA5"/>
    <w:rPr>
      <w:i/>
      <w:iCs/>
      <w:color w:val="000000"/>
    </w:rPr>
  </w:style>
  <w:style w:type="paragraph" w:customStyle="1" w:styleId="NoNumTitle-Clause">
    <w:name w:val="No Num Title - Clause"/>
    <w:basedOn w:val="TitleClause"/>
    <w:qFormat/>
    <w:rsid w:val="008D1DA5"/>
    <w:pPr>
      <w:numPr>
        <w:numId w:val="0"/>
      </w:numPr>
      <w:ind w:left="720"/>
    </w:pPr>
    <w:rPr>
      <w:color w:val="000000"/>
    </w:rPr>
  </w:style>
  <w:style w:type="paragraph" w:customStyle="1" w:styleId="NoNumTitlesubclause1">
    <w:name w:val="No Num Title subclause1"/>
    <w:basedOn w:val="Titlesubclause1"/>
    <w:qFormat/>
    <w:rsid w:val="008D1DA5"/>
    <w:pPr>
      <w:numPr>
        <w:ilvl w:val="0"/>
        <w:numId w:val="0"/>
      </w:numPr>
      <w:ind w:left="720"/>
    </w:pPr>
    <w:rPr>
      <w:color w:val="000000"/>
    </w:rPr>
  </w:style>
  <w:style w:type="paragraph" w:customStyle="1" w:styleId="AddressLine">
    <w:name w:val="Address Line"/>
    <w:basedOn w:val="Paragraph"/>
    <w:qFormat/>
    <w:rsid w:val="008D1DA5"/>
    <w:rPr>
      <w:color w:val="000000"/>
    </w:rPr>
  </w:style>
  <w:style w:type="paragraph" w:styleId="Date">
    <w:name w:val="Date"/>
    <w:basedOn w:val="Paragraph"/>
    <w:qFormat/>
    <w:rsid w:val="008D1DA5"/>
    <w:rPr>
      <w:color w:val="000000"/>
    </w:rPr>
  </w:style>
  <w:style w:type="paragraph" w:customStyle="1" w:styleId="SalutationPara">
    <w:name w:val="Salutation Para"/>
    <w:basedOn w:val="Paragraph"/>
    <w:next w:val="Paragraph"/>
    <w:qFormat/>
    <w:rsid w:val="008D1DA5"/>
    <w:pPr>
      <w:spacing w:before="240"/>
    </w:pPr>
    <w:rPr>
      <w:color w:val="000000"/>
    </w:rPr>
  </w:style>
  <w:style w:type="character" w:styleId="FollowedHyperlink">
    <w:name w:val="FollowedHyperlink"/>
    <w:basedOn w:val="DefaultParagraphFont"/>
    <w:uiPriority w:val="99"/>
    <w:semiHidden/>
    <w:unhideWhenUsed/>
    <w:rsid w:val="008D1DA5"/>
    <w:rPr>
      <w:i/>
      <w:color w:val="000000"/>
      <w:u w:val="single"/>
    </w:rPr>
  </w:style>
  <w:style w:type="character" w:customStyle="1" w:styleId="DefTerm">
    <w:name w:val="DefTerm"/>
    <w:basedOn w:val="DefaultParagraphFont"/>
    <w:uiPriority w:val="1"/>
    <w:qFormat/>
    <w:rsid w:val="008D1DA5"/>
    <w:rPr>
      <w:b/>
      <w:color w:val="000000"/>
    </w:rPr>
  </w:style>
  <w:style w:type="table" w:customStyle="1" w:styleId="ShadedTable">
    <w:name w:val="Shaded Table"/>
    <w:basedOn w:val="TableNormal"/>
    <w:uiPriority w:val="99"/>
    <w:rsid w:val="008D1DA5"/>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Letterhead">
    <w:name w:val="Letterhead"/>
    <w:basedOn w:val="Paragraph"/>
    <w:qFormat/>
    <w:rsid w:val="008D1DA5"/>
    <w:rPr>
      <w:i/>
      <w:color w:val="000000"/>
    </w:rPr>
  </w:style>
  <w:style w:type="paragraph" w:customStyle="1" w:styleId="LetterTitle">
    <w:name w:val="Letter Title"/>
    <w:basedOn w:val="Paragraph"/>
    <w:qFormat/>
    <w:rsid w:val="008D1DA5"/>
    <w:rPr>
      <w:b/>
      <w:color w:val="000000"/>
    </w:rPr>
  </w:style>
  <w:style w:type="paragraph" w:customStyle="1" w:styleId="LongQuestionPara">
    <w:name w:val="Long Question Para"/>
    <w:basedOn w:val="Paragraph"/>
    <w:link w:val="LongQuestionParaChar"/>
    <w:rsid w:val="008D1DA5"/>
    <w:pPr>
      <w:numPr>
        <w:numId w:val="11"/>
      </w:numPr>
      <w:spacing w:before="240" w:after="240" w:line="240" w:lineRule="auto"/>
      <w:outlineLvl w:val="1"/>
    </w:pPr>
    <w:rPr>
      <w:color w:val="000000"/>
      <w:sz w:val="20"/>
      <w:lang w:val="en-US"/>
    </w:rPr>
  </w:style>
  <w:style w:type="character" w:customStyle="1" w:styleId="LongQuestionParaChar">
    <w:name w:val="Long Question Para Char"/>
    <w:basedOn w:val="DefaultParagraphFont"/>
    <w:link w:val="LongQuestionPara"/>
    <w:rsid w:val="008D1DA5"/>
    <w:rPr>
      <w:rFonts w:ascii="Arial" w:eastAsia="Arial Unicode MS" w:hAnsi="Arial" w:cs="Arial"/>
      <w:color w:val="000000"/>
      <w:sz w:val="20"/>
      <w:szCs w:val="20"/>
      <w:lang w:val="en-US" w:eastAsia="en-US"/>
    </w:rPr>
  </w:style>
  <w:style w:type="paragraph" w:customStyle="1" w:styleId="ShortQuestionPara">
    <w:name w:val="Short Question Para"/>
    <w:basedOn w:val="Paragraph"/>
    <w:link w:val="ShortQuestionParaChar"/>
    <w:rsid w:val="008D1DA5"/>
    <w:pPr>
      <w:shd w:val="clear" w:color="auto" w:fill="D9D9D9" w:themeFill="background1" w:themeFillShade="D9"/>
      <w:tabs>
        <w:tab w:val="left" w:pos="270"/>
      </w:tabs>
      <w:spacing w:after="40" w:line="240" w:lineRule="auto"/>
      <w:outlineLvl w:val="1"/>
    </w:pPr>
    <w:rPr>
      <w:bCs/>
      <w:color w:val="000000"/>
      <w:sz w:val="20"/>
      <w:lang w:val="en-US"/>
    </w:rPr>
  </w:style>
  <w:style w:type="character" w:customStyle="1" w:styleId="ShortQuestionParaChar">
    <w:name w:val="Short Question Para Char"/>
    <w:basedOn w:val="DefaultParagraphFont"/>
    <w:link w:val="ShortQuestionPara"/>
    <w:rsid w:val="008D1DA5"/>
    <w:rPr>
      <w:rFonts w:ascii="Arial" w:eastAsia="Arial Unicode MS" w:hAnsi="Arial" w:cs="Arial"/>
      <w:bCs/>
      <w:color w:val="000000"/>
      <w:sz w:val="20"/>
      <w:szCs w:val="20"/>
      <w:shd w:val="clear" w:color="auto" w:fill="D9D9D9" w:themeFill="background1" w:themeFillShade="D9"/>
      <w:lang w:val="en-US" w:eastAsia="en-US"/>
    </w:rPr>
  </w:style>
  <w:style w:type="character" w:customStyle="1" w:styleId="ParagraphChar">
    <w:name w:val="Paragraph Char"/>
    <w:basedOn w:val="DefaultParagraphFont"/>
    <w:link w:val="Paragraph"/>
    <w:rsid w:val="008D1DA5"/>
    <w:rPr>
      <w:rFonts w:ascii="Arial" w:eastAsia="Arial Unicode MS" w:hAnsi="Arial" w:cs="Arial"/>
      <w:color w:val="000000"/>
      <w:szCs w:val="20"/>
      <w:lang w:eastAsia="en-US"/>
    </w:rPr>
  </w:style>
  <w:style w:type="paragraph" w:customStyle="1" w:styleId="811D3A974D454A258B71E3C4DE24C4F210">
    <w:name w:val="811D3A974D454A258B71E3C4DE24C4F210"/>
    <w:rsid w:val="00AB3A2F"/>
    <w:pPr>
      <w:spacing w:after="120" w:line="240" w:lineRule="auto"/>
    </w:pPr>
    <w:rPr>
      <w:rFonts w:ascii="Arial" w:eastAsia="Arial Unicode MS" w:hAnsi="Arial" w:cs="Arial"/>
      <w:color w:val="000000"/>
      <w:sz w:val="24"/>
      <w:lang w:val="en-US" w:eastAsia="en-US"/>
    </w:rPr>
  </w:style>
  <w:style w:type="paragraph" w:customStyle="1" w:styleId="ListParagraphLevel3">
    <w:name w:val="List Paragraph Level 3"/>
    <w:qFormat/>
    <w:rsid w:val="008D1DA5"/>
    <w:pPr>
      <w:spacing w:after="120" w:line="240" w:lineRule="auto"/>
      <w:ind w:left="2160"/>
    </w:pPr>
    <w:rPr>
      <w:rFonts w:ascii="Times New Roman" w:eastAsia="Times New Roman" w:hAnsi="Times New Roman" w:cs="Times New Roman"/>
      <w:color w:val="000000"/>
      <w:sz w:val="24"/>
      <w:szCs w:val="20"/>
      <w:lang w:eastAsia="en-US"/>
    </w:rPr>
  </w:style>
  <w:style w:type="paragraph" w:customStyle="1" w:styleId="DocumentTitle">
    <w:name w:val="Document Title"/>
    <w:basedOn w:val="Paragraph"/>
    <w:qFormat/>
    <w:rsid w:val="008D1DA5"/>
    <w:pPr>
      <w:jc w:val="center"/>
    </w:pPr>
    <w:rPr>
      <w:color w:val="000000"/>
      <w:sz w:val="28"/>
    </w:rPr>
  </w:style>
  <w:style w:type="paragraph" w:customStyle="1" w:styleId="Title-Clause">
    <w:name w:val="Title - Clause"/>
    <w:aliases w:val="BIWS Heading 1"/>
    <w:basedOn w:val="Normal"/>
    <w:rsid w:val="008D1DA5"/>
    <w:pPr>
      <w:keepNext/>
      <w:tabs>
        <w:tab w:val="num" w:pos="720"/>
      </w:tabs>
      <w:spacing w:before="240" w:after="240" w:line="300" w:lineRule="atLeast"/>
      <w:ind w:left="720" w:hanging="720"/>
      <w:jc w:val="both"/>
      <w:outlineLvl w:val="0"/>
    </w:pPr>
    <w:rPr>
      <w:rFonts w:ascii="Arial" w:eastAsia="Arial Unicode MS" w:hAnsi="Arial" w:cs="Arial"/>
      <w:b/>
      <w:color w:val="000000"/>
      <w:kern w:val="28"/>
      <w:szCs w:val="20"/>
      <w:lang w:eastAsia="en-US"/>
    </w:rPr>
  </w:style>
  <w:style w:type="paragraph" w:customStyle="1" w:styleId="Para-Clause-nonum">
    <w:name w:val="Para - Clause - no num"/>
    <w:aliases w:val="Body  clause"/>
    <w:basedOn w:val="Normal"/>
    <w:next w:val="Title-Clause"/>
    <w:rsid w:val="008D1DA5"/>
    <w:pPr>
      <w:spacing w:before="120" w:after="120" w:line="300" w:lineRule="atLeast"/>
      <w:ind w:left="720"/>
      <w:jc w:val="both"/>
    </w:pPr>
    <w:rPr>
      <w:rFonts w:ascii="Arial" w:eastAsia="Arial Unicode MS" w:hAnsi="Arial" w:cs="Arial"/>
      <w:color w:val="000000"/>
      <w:szCs w:val="20"/>
      <w:lang w:eastAsia="en-US"/>
    </w:rPr>
  </w:style>
  <w:style w:type="paragraph" w:customStyle="1" w:styleId="Para-Clause">
    <w:name w:val="Para - Clause"/>
    <w:basedOn w:val="Title-Clause"/>
    <w:qFormat/>
    <w:rsid w:val="008D1DA5"/>
    <w:pPr>
      <w:spacing w:before="120"/>
    </w:pPr>
    <w:rPr>
      <w:b w:val="0"/>
      <w:color w:val="000000"/>
    </w:rPr>
  </w:style>
  <w:style w:type="paragraph" w:customStyle="1" w:styleId="CoversheetParagraph">
    <w:name w:val="Coversheet Paragraph"/>
    <w:basedOn w:val="Normal"/>
    <w:autoRedefine/>
    <w:rsid w:val="008D1DA5"/>
    <w:pPr>
      <w:spacing w:after="0" w:line="300" w:lineRule="atLeast"/>
      <w:jc w:val="center"/>
    </w:pPr>
    <w:rPr>
      <w:rFonts w:ascii="Times New Roman" w:eastAsia="Times New Roman" w:hAnsi="Times New Roman" w:cs="Times New Roman"/>
      <w:color w:val="000000"/>
      <w:szCs w:val="20"/>
      <w:lang w:eastAsia="en-US"/>
    </w:rPr>
  </w:style>
  <w:style w:type="paragraph" w:customStyle="1" w:styleId="CoversheetIntro">
    <w:name w:val="Coversheet Intro"/>
    <w:basedOn w:val="CoversheetTitle"/>
    <w:qFormat/>
    <w:rsid w:val="008D1DA5"/>
    <w:rPr>
      <w:smallCaps w:val="0"/>
      <w:color w:val="000000"/>
      <w:sz w:val="22"/>
    </w:rPr>
  </w:style>
  <w:style w:type="paragraph" w:customStyle="1" w:styleId="CoversheetStaticText">
    <w:name w:val="Coversheet Static Text"/>
    <w:basedOn w:val="CoversheetIntro"/>
    <w:qFormat/>
    <w:rsid w:val="008D1DA5"/>
    <w:rPr>
      <w:b w:val="0"/>
      <w:color w:val="000000"/>
    </w:rPr>
  </w:style>
  <w:style w:type="paragraph" w:customStyle="1" w:styleId="CoversheetParty">
    <w:name w:val="Coversheet Party"/>
    <w:basedOn w:val="CoversheetIntro"/>
    <w:qFormat/>
    <w:rsid w:val="008D1DA5"/>
    <w:rPr>
      <w:color w:val="000000"/>
    </w:rPr>
  </w:style>
  <w:style w:type="paragraph" w:customStyle="1" w:styleId="NoNumUntitledClause">
    <w:name w:val="No Num Untitled Clause"/>
    <w:basedOn w:val="UntitledClause"/>
    <w:qFormat/>
    <w:rsid w:val="008D1DA5"/>
    <w:pPr>
      <w:numPr>
        <w:numId w:val="0"/>
      </w:numPr>
      <w:ind w:left="720"/>
    </w:pPr>
    <w:rPr>
      <w:color w:val="000000"/>
    </w:rPr>
  </w:style>
  <w:style w:type="paragraph" w:customStyle="1" w:styleId="BackgroundSubclause1">
    <w:name w:val="Background Subclause1"/>
    <w:basedOn w:val="Background"/>
    <w:qFormat/>
    <w:rsid w:val="008D1DA5"/>
    <w:pPr>
      <w:numPr>
        <w:ilvl w:val="1"/>
      </w:numPr>
    </w:pPr>
    <w:rPr>
      <w:color w:val="000000"/>
    </w:rPr>
  </w:style>
  <w:style w:type="paragraph" w:customStyle="1" w:styleId="BackgroundSubclause2">
    <w:name w:val="Background Subclause2"/>
    <w:basedOn w:val="Background"/>
    <w:qFormat/>
    <w:rsid w:val="008D1DA5"/>
    <w:pPr>
      <w:numPr>
        <w:ilvl w:val="3"/>
      </w:numPr>
    </w:pPr>
    <w:rPr>
      <w:color w:val="000000"/>
    </w:rPr>
  </w:style>
  <w:style w:type="paragraph" w:customStyle="1" w:styleId="HeadingLevel2CQA">
    <w:name w:val="Heading Level 2 CQA"/>
    <w:basedOn w:val="HeadingLevel2"/>
    <w:qFormat/>
    <w:rsid w:val="008D1DA5"/>
    <w:rPr>
      <w:color w:val="000000"/>
    </w:rPr>
  </w:style>
  <w:style w:type="paragraph" w:customStyle="1" w:styleId="ClauseBullet1">
    <w:name w:val="Clause Bullet 1"/>
    <w:basedOn w:val="ParaClause"/>
    <w:qFormat/>
    <w:rsid w:val="008D1DA5"/>
    <w:pPr>
      <w:numPr>
        <w:numId w:val="12"/>
      </w:numPr>
      <w:ind w:left="1077" w:hanging="357"/>
      <w:outlineLvl w:val="0"/>
    </w:pPr>
    <w:rPr>
      <w:color w:val="000000"/>
    </w:rPr>
  </w:style>
  <w:style w:type="paragraph" w:customStyle="1" w:styleId="ClauseBullet2">
    <w:name w:val="Clause Bullet 2"/>
    <w:basedOn w:val="ParaClause"/>
    <w:qFormat/>
    <w:rsid w:val="008D1DA5"/>
    <w:pPr>
      <w:numPr>
        <w:numId w:val="13"/>
      </w:numPr>
      <w:ind w:left="1434" w:hanging="357"/>
      <w:outlineLvl w:val="1"/>
    </w:pPr>
    <w:rPr>
      <w:color w:val="000000"/>
    </w:rPr>
  </w:style>
  <w:style w:type="paragraph" w:customStyle="1" w:styleId="subclause1Bullet1">
    <w:name w:val="subclause 1 Bullet 1"/>
    <w:basedOn w:val="Parasubclause1"/>
    <w:qFormat/>
    <w:rsid w:val="008D1DA5"/>
    <w:pPr>
      <w:numPr>
        <w:numId w:val="14"/>
      </w:numPr>
      <w:ind w:left="1077" w:hanging="357"/>
    </w:pPr>
    <w:rPr>
      <w:color w:val="000000"/>
    </w:rPr>
  </w:style>
  <w:style w:type="paragraph" w:customStyle="1" w:styleId="subclause2Bullet1">
    <w:name w:val="subclause 2 Bullet 1"/>
    <w:basedOn w:val="Parasubclause2"/>
    <w:qFormat/>
    <w:rsid w:val="008D1DA5"/>
    <w:pPr>
      <w:numPr>
        <w:numId w:val="16"/>
      </w:numPr>
      <w:ind w:left="1434" w:hanging="357"/>
    </w:pPr>
    <w:rPr>
      <w:color w:val="000000"/>
    </w:rPr>
  </w:style>
  <w:style w:type="paragraph" w:customStyle="1" w:styleId="subclause3Bullet1">
    <w:name w:val="subclause 3 Bullet 1"/>
    <w:basedOn w:val="Parasubclause3"/>
    <w:qFormat/>
    <w:rsid w:val="008D1DA5"/>
    <w:pPr>
      <w:numPr>
        <w:numId w:val="15"/>
      </w:numPr>
      <w:ind w:left="2273" w:hanging="357"/>
    </w:pPr>
    <w:rPr>
      <w:color w:val="000000"/>
    </w:rPr>
  </w:style>
  <w:style w:type="paragraph" w:customStyle="1" w:styleId="subclause1Bullet2">
    <w:name w:val="subclause 1 Bullet 2"/>
    <w:basedOn w:val="Parasubclause1"/>
    <w:qFormat/>
    <w:rsid w:val="008D1DA5"/>
    <w:pPr>
      <w:numPr>
        <w:numId w:val="17"/>
      </w:numPr>
      <w:ind w:left="1434" w:hanging="357"/>
    </w:pPr>
    <w:rPr>
      <w:color w:val="000000"/>
    </w:rPr>
  </w:style>
  <w:style w:type="paragraph" w:customStyle="1" w:styleId="subclause2Bullet2">
    <w:name w:val="subclause 2 Bullet 2"/>
    <w:basedOn w:val="Parasubclause2"/>
    <w:qFormat/>
    <w:rsid w:val="008D1DA5"/>
    <w:pPr>
      <w:numPr>
        <w:numId w:val="18"/>
      </w:numPr>
      <w:ind w:left="2273" w:hanging="357"/>
    </w:pPr>
    <w:rPr>
      <w:color w:val="000000"/>
    </w:rPr>
  </w:style>
  <w:style w:type="paragraph" w:customStyle="1" w:styleId="subclause3Bullet2">
    <w:name w:val="subclause 3 Bullet 2"/>
    <w:basedOn w:val="Parasubclause3"/>
    <w:qFormat/>
    <w:rsid w:val="008D1DA5"/>
    <w:pPr>
      <w:numPr>
        <w:numId w:val="19"/>
      </w:numPr>
      <w:ind w:left="2982" w:hanging="357"/>
    </w:pPr>
    <w:rPr>
      <w:color w:val="000000"/>
    </w:rPr>
  </w:style>
  <w:style w:type="paragraph" w:customStyle="1" w:styleId="DefinedTermBullet">
    <w:name w:val="Defined Term Bullet"/>
    <w:basedOn w:val="DefinedTermPara"/>
    <w:qFormat/>
    <w:rsid w:val="008D1DA5"/>
    <w:pPr>
      <w:numPr>
        <w:numId w:val="20"/>
      </w:numPr>
    </w:pPr>
    <w:rPr>
      <w:color w:val="000000"/>
    </w:rPr>
  </w:style>
  <w:style w:type="paragraph" w:customStyle="1" w:styleId="DefinedTermNumber">
    <w:name w:val="Defined Term Number"/>
    <w:basedOn w:val="DefinedTermPara"/>
    <w:qFormat/>
    <w:rsid w:val="008D1DA5"/>
    <w:pPr>
      <w:numPr>
        <w:ilvl w:val="1"/>
      </w:numPr>
    </w:pPr>
    <w:rPr>
      <w:color w:val="000000"/>
    </w:rPr>
  </w:style>
  <w:style w:type="paragraph" w:customStyle="1" w:styleId="AdditionalTitle">
    <w:name w:val="Additional Title"/>
    <w:basedOn w:val="Paragraph"/>
    <w:qFormat/>
    <w:rsid w:val="008D1DA5"/>
    <w:pPr>
      <w:jc w:val="left"/>
    </w:pPr>
    <w:rPr>
      <w:b/>
      <w:color w:val="000000"/>
      <w:sz w:val="24"/>
    </w:rPr>
  </w:style>
  <w:style w:type="character" w:customStyle="1" w:styleId="error">
    <w:name w:val="error"/>
    <w:basedOn w:val="DefaultParagraphFont"/>
    <w:rsid w:val="008D1DA5"/>
    <w:rPr>
      <w:color w:val="000000"/>
    </w:rPr>
  </w:style>
  <w:style w:type="paragraph" w:customStyle="1" w:styleId="NoNumUntitledsubclause1">
    <w:name w:val="No Num Untitled subclause 1"/>
    <w:basedOn w:val="Untitledsubclause1"/>
    <w:qFormat/>
    <w:rsid w:val="008D1DA5"/>
    <w:pPr>
      <w:numPr>
        <w:ilvl w:val="0"/>
        <w:numId w:val="0"/>
      </w:numPr>
      <w:ind w:left="720"/>
    </w:pPr>
    <w:rPr>
      <w:color w:val="000000"/>
    </w:rPr>
  </w:style>
  <w:style w:type="paragraph" w:customStyle="1" w:styleId="BackgroundParaClause">
    <w:name w:val="Background Para Clause"/>
    <w:basedOn w:val="Background"/>
    <w:qFormat/>
    <w:rsid w:val="008D1DA5"/>
    <w:pPr>
      <w:numPr>
        <w:numId w:val="0"/>
      </w:numPr>
    </w:pPr>
    <w:rPr>
      <w:color w:val="000000"/>
    </w:rPr>
  </w:style>
  <w:style w:type="paragraph" w:customStyle="1" w:styleId="BackgroundParaSubclause1">
    <w:name w:val="Background Para Subclause1"/>
    <w:basedOn w:val="BackgroundSubclause1"/>
    <w:qFormat/>
    <w:rsid w:val="008D1DA5"/>
    <w:pPr>
      <w:numPr>
        <w:ilvl w:val="0"/>
        <w:numId w:val="0"/>
      </w:numPr>
      <w:ind w:left="994"/>
    </w:pPr>
    <w:rPr>
      <w:color w:val="000000"/>
      <w:lang w:val="en-US"/>
    </w:rPr>
  </w:style>
  <w:style w:type="paragraph" w:customStyle="1" w:styleId="BackgroundParaSubclause2">
    <w:name w:val="Background Para Subclause2"/>
    <w:basedOn w:val="BackgroundSubclause2"/>
    <w:qFormat/>
    <w:rsid w:val="008D1DA5"/>
    <w:pPr>
      <w:numPr>
        <w:ilvl w:val="0"/>
        <w:numId w:val="0"/>
      </w:numPr>
      <w:ind w:left="1701"/>
    </w:pPr>
    <w:rPr>
      <w:color w:val="000000"/>
      <w:lang w:val="en-US"/>
    </w:rPr>
  </w:style>
  <w:style w:type="character" w:styleId="CommentReference">
    <w:name w:val="annotation reference"/>
    <w:basedOn w:val="DefaultParagraphFont"/>
    <w:uiPriority w:val="99"/>
    <w:semiHidden/>
    <w:unhideWhenUsed/>
    <w:rsid w:val="0002382B"/>
    <w:rPr>
      <w:color w:val="000000"/>
      <w:sz w:val="16"/>
      <w:szCs w:val="16"/>
    </w:rPr>
  </w:style>
  <w:style w:type="paragraph" w:styleId="CommentText">
    <w:name w:val="annotation text"/>
    <w:basedOn w:val="Normal"/>
    <w:link w:val="CommentTextChar"/>
    <w:uiPriority w:val="99"/>
    <w:unhideWhenUsed/>
    <w:rsid w:val="0002382B"/>
    <w:pPr>
      <w:spacing w:line="240" w:lineRule="auto"/>
    </w:pPr>
    <w:rPr>
      <w:color w:val="000000"/>
      <w:sz w:val="20"/>
      <w:szCs w:val="20"/>
    </w:rPr>
  </w:style>
  <w:style w:type="character" w:customStyle="1" w:styleId="CommentTextChar">
    <w:name w:val="Comment Text Char"/>
    <w:basedOn w:val="DefaultParagraphFont"/>
    <w:link w:val="CommentText"/>
    <w:uiPriority w:val="99"/>
    <w:rsid w:val="0002382B"/>
    <w:rPr>
      <w:color w:val="000000"/>
      <w:sz w:val="20"/>
      <w:szCs w:val="20"/>
    </w:rPr>
  </w:style>
  <w:style w:type="paragraph" w:styleId="CommentSubject">
    <w:name w:val="annotation subject"/>
    <w:basedOn w:val="CommentText"/>
    <w:next w:val="CommentText"/>
    <w:link w:val="CommentSubjectChar"/>
    <w:uiPriority w:val="99"/>
    <w:semiHidden/>
    <w:unhideWhenUsed/>
    <w:rsid w:val="0002382B"/>
    <w:rPr>
      <w:b/>
      <w:bCs/>
      <w:color w:val="000000"/>
    </w:rPr>
  </w:style>
  <w:style w:type="character" w:customStyle="1" w:styleId="CommentSubjectChar">
    <w:name w:val="Comment Subject Char"/>
    <w:basedOn w:val="CommentTextChar"/>
    <w:link w:val="CommentSubject"/>
    <w:uiPriority w:val="99"/>
    <w:semiHidden/>
    <w:rsid w:val="0002382B"/>
    <w:rPr>
      <w:b/>
      <w:bCs/>
      <w:color w:val="000000"/>
      <w:sz w:val="20"/>
      <w:szCs w:val="20"/>
    </w:rPr>
  </w:style>
  <w:style w:type="table" w:customStyle="1" w:styleId="TableGrid1">
    <w:name w:val="Table Grid1"/>
    <w:basedOn w:val="TableNormal"/>
    <w:rsid w:val="008D1DA5"/>
    <w:pPr>
      <w:spacing w:after="0" w:line="240" w:lineRule="auto"/>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useBulletPara">
    <w:name w:val="Clause Bullet Para"/>
    <w:basedOn w:val="ClauseBullet1"/>
    <w:qFormat/>
    <w:rsid w:val="008D1DA5"/>
    <w:pPr>
      <w:numPr>
        <w:numId w:val="0"/>
      </w:numPr>
      <w:ind w:left="1080"/>
    </w:pPr>
    <w:rPr>
      <w:color w:val="000000"/>
      <w:lang w:val="en-US"/>
    </w:rPr>
  </w:style>
  <w:style w:type="paragraph" w:customStyle="1" w:styleId="ClauseBullet2Para">
    <w:name w:val="Clause Bullet 2 Para"/>
    <w:basedOn w:val="ClauseBullet2"/>
    <w:qFormat/>
    <w:rsid w:val="008D1DA5"/>
    <w:pPr>
      <w:numPr>
        <w:numId w:val="0"/>
      </w:numPr>
      <w:ind w:left="1440"/>
    </w:pPr>
    <w:rPr>
      <w:color w:val="000000"/>
      <w:lang w:val="en-US"/>
    </w:rPr>
  </w:style>
  <w:style w:type="paragraph" w:customStyle="1" w:styleId="ACTJurisdictionCheckList">
    <w:name w:val="ACTJurisdictionCheckList"/>
    <w:basedOn w:val="Normal"/>
    <w:rsid w:val="008D1DA5"/>
    <w:pPr>
      <w:spacing w:after="120" w:line="300" w:lineRule="atLeast"/>
    </w:pPr>
    <w:rPr>
      <w:rFonts w:ascii="Arial" w:eastAsia="Arial Unicode MS" w:hAnsi="Arial" w:cs="Arial"/>
      <w:b/>
      <w:color w:val="000000"/>
      <w:sz w:val="28"/>
    </w:rPr>
  </w:style>
  <w:style w:type="paragraph" w:customStyle="1" w:styleId="JurisdictionDraftingnoteTitle">
    <w:name w:val="Jurisdiction Draftingnote Title"/>
    <w:basedOn w:val="DraftingnoteTitle"/>
    <w:qFormat/>
    <w:rsid w:val="008D1DA5"/>
    <w:rPr>
      <w:color w:val="000000"/>
    </w:rPr>
  </w:style>
  <w:style w:type="paragraph" w:customStyle="1" w:styleId="ScheduleTitleClause">
    <w:name w:val="Schedule Title Clause"/>
    <w:basedOn w:val="Normal"/>
    <w:rsid w:val="008D1DA5"/>
    <w:pPr>
      <w:keepNext/>
      <w:numPr>
        <w:ilvl w:val="0"/>
        <w:numId w:val="60"/>
      </w:numPr>
      <w:spacing w:before="240" w:after="240" w:line="300" w:lineRule="atLeast"/>
      <w:jc w:val="both"/>
      <w:outlineLvl w:val="0"/>
    </w:pPr>
    <w:rPr>
      <w:rFonts w:ascii="Arial" w:eastAsia="Arial Unicode MS" w:hAnsi="Arial" w:cs="Arial"/>
      <w:b/>
      <w:color w:val="000000"/>
      <w:kern w:val="28"/>
      <w:szCs w:val="20"/>
      <w:lang w:eastAsia="en-US"/>
    </w:rPr>
  </w:style>
  <w:style w:type="paragraph" w:customStyle="1" w:styleId="ScheduleUntitledsubclause1">
    <w:name w:val="Schedule Untitled subclause 1"/>
    <w:basedOn w:val="Normal"/>
    <w:rsid w:val="008D1DA5"/>
    <w:pPr>
      <w:numPr>
        <w:ilvl w:val="1"/>
        <w:numId w:val="60"/>
      </w:numPr>
      <w:spacing w:before="280" w:after="120" w:line="300" w:lineRule="atLeast"/>
      <w:jc w:val="both"/>
      <w:outlineLvl w:val="1"/>
    </w:pPr>
    <w:rPr>
      <w:rFonts w:ascii="Arial" w:eastAsia="Arial Unicode MS" w:hAnsi="Arial" w:cs="Arial"/>
      <w:color w:val="000000"/>
      <w:szCs w:val="20"/>
      <w:lang w:eastAsia="en-US"/>
    </w:rPr>
  </w:style>
  <w:style w:type="paragraph" w:customStyle="1" w:styleId="ScheduleUntitledsubclause2">
    <w:name w:val="Schedule Untitled subclause 2"/>
    <w:basedOn w:val="Normal"/>
    <w:rsid w:val="008D1DA5"/>
    <w:pPr>
      <w:numPr>
        <w:ilvl w:val="2"/>
        <w:numId w:val="60"/>
      </w:numPr>
      <w:spacing w:after="120" w:line="300" w:lineRule="atLeast"/>
      <w:jc w:val="both"/>
      <w:outlineLvl w:val="2"/>
    </w:pPr>
    <w:rPr>
      <w:rFonts w:ascii="Arial" w:eastAsia="Arial Unicode MS" w:hAnsi="Arial" w:cs="Arial"/>
      <w:color w:val="000000"/>
      <w:szCs w:val="20"/>
      <w:lang w:eastAsia="en-US"/>
    </w:rPr>
  </w:style>
  <w:style w:type="paragraph" w:customStyle="1" w:styleId="ScheduleUntitledsubclause3">
    <w:name w:val="Schedule Untitled subclause 3"/>
    <w:basedOn w:val="Normal"/>
    <w:rsid w:val="008D1DA5"/>
    <w:pPr>
      <w:numPr>
        <w:ilvl w:val="3"/>
        <w:numId w:val="60"/>
      </w:numPr>
      <w:tabs>
        <w:tab w:val="left" w:pos="2261"/>
      </w:tabs>
      <w:spacing w:after="120" w:line="300" w:lineRule="atLeast"/>
      <w:jc w:val="both"/>
      <w:outlineLvl w:val="3"/>
    </w:pPr>
    <w:rPr>
      <w:rFonts w:ascii="Arial" w:eastAsia="Arial Unicode MS" w:hAnsi="Arial" w:cs="Arial"/>
      <w:color w:val="000000"/>
      <w:szCs w:val="20"/>
      <w:lang w:eastAsia="en-US"/>
    </w:rPr>
  </w:style>
  <w:style w:type="paragraph" w:customStyle="1" w:styleId="ScheduleUntitledsubclause4">
    <w:name w:val="Schedule Untitled subclause 4"/>
    <w:basedOn w:val="Normal"/>
    <w:rsid w:val="008D1DA5"/>
    <w:pPr>
      <w:spacing w:after="120" w:line="300" w:lineRule="atLeast"/>
      <w:jc w:val="both"/>
      <w:outlineLvl w:val="4"/>
    </w:pPr>
    <w:rPr>
      <w:rFonts w:ascii="Arial" w:eastAsia="Arial Unicode MS" w:hAnsi="Arial" w:cs="Arial"/>
      <w:color w:val="000000"/>
      <w:szCs w:val="20"/>
      <w:lang w:eastAsia="en-US"/>
    </w:rPr>
  </w:style>
  <w:style w:type="paragraph" w:customStyle="1" w:styleId="BulletListPattern1">
    <w:name w:val="Bullet List Pattern 1"/>
    <w:basedOn w:val="BulletList1"/>
    <w:qFormat/>
    <w:rsid w:val="008D1DA5"/>
    <w:pPr>
      <w:shd w:val="clear" w:color="auto" w:fill="D9D9D9" w:themeFill="background1" w:themeFillShade="D9"/>
      <w:spacing w:after="120" w:line="240" w:lineRule="auto"/>
      <w:ind w:left="714" w:hanging="357"/>
    </w:pPr>
    <w:rPr>
      <w:color w:val="000000"/>
    </w:rPr>
  </w:style>
  <w:style w:type="paragraph" w:customStyle="1" w:styleId="BulletListPattern2">
    <w:name w:val="Bullet List Pattern 2"/>
    <w:basedOn w:val="BulletList2"/>
    <w:qFormat/>
    <w:rsid w:val="008D1DA5"/>
    <w:pPr>
      <w:shd w:val="clear" w:color="auto" w:fill="D9D9D9" w:themeFill="background1" w:themeFillShade="D9"/>
      <w:ind w:left="1077"/>
    </w:pPr>
    <w:rPr>
      <w:color w:val="000000"/>
    </w:rPr>
  </w:style>
  <w:style w:type="paragraph" w:customStyle="1" w:styleId="ScheduleUntitledClause">
    <w:name w:val="Schedule Untitled Clause"/>
    <w:basedOn w:val="ScheduleTitleClause"/>
    <w:qFormat/>
    <w:rsid w:val="008D1DA5"/>
    <w:pPr>
      <w:spacing w:before="120"/>
    </w:pPr>
    <w:rPr>
      <w:b w:val="0"/>
      <w:color w:val="000000"/>
    </w:rPr>
  </w:style>
  <w:style w:type="paragraph" w:customStyle="1" w:styleId="EmptyClausePara">
    <w:name w:val="Empty Clause Para"/>
    <w:basedOn w:val="IgnoredSpacing"/>
    <w:qFormat/>
    <w:rsid w:val="008D1DA5"/>
    <w:rPr>
      <w:color w:val="000000"/>
    </w:rPr>
  </w:style>
  <w:style w:type="paragraph" w:styleId="ListParagraph">
    <w:name w:val="List Paragraph"/>
    <w:basedOn w:val="Normal"/>
    <w:uiPriority w:val="34"/>
    <w:qFormat/>
    <w:rsid w:val="008D1DA5"/>
    <w:pPr>
      <w:ind w:left="720"/>
      <w:contextualSpacing/>
    </w:pPr>
    <w:rPr>
      <w:color w:val="000000"/>
    </w:rPr>
  </w:style>
  <w:style w:type="paragraph" w:customStyle="1" w:styleId="ScheduleTitlesubclause1">
    <w:name w:val="Schedule Title subclause1"/>
    <w:basedOn w:val="ScheduleUntitledsubclause1"/>
    <w:qFormat/>
    <w:rsid w:val="008D1DA5"/>
    <w:pPr>
      <w:spacing w:before="120"/>
    </w:pPr>
    <w:rPr>
      <w:b/>
      <w:color w:val="000000"/>
    </w:rPr>
  </w:style>
  <w:style w:type="paragraph" w:customStyle="1" w:styleId="835FF0B0D5344FE4A8EE41F54AA7E17C16">
    <w:name w:val="835FF0B0D5344FE4A8EE41F54AA7E17C16"/>
    <w:rsid w:val="000E45DE"/>
    <w:pPr>
      <w:spacing w:after="120" w:line="240" w:lineRule="auto"/>
    </w:pPr>
    <w:rPr>
      <w:rFonts w:ascii="Arial" w:eastAsia="Times New Roman" w:hAnsi="Arial" w:cs="Times New Roman"/>
      <w:color w:val="000000"/>
      <w:sz w:val="24"/>
      <w:szCs w:val="24"/>
      <w:lang w:val="en-US" w:eastAsia="en-US"/>
    </w:rPr>
  </w:style>
  <w:style w:type="character" w:customStyle="1" w:styleId="UnresolvedMention">
    <w:name w:val="Unresolved Mention"/>
    <w:basedOn w:val="DefaultParagraphFont"/>
    <w:uiPriority w:val="99"/>
    <w:semiHidden/>
    <w:unhideWhenUsed/>
    <w:rsid w:val="00B86799"/>
    <w:rPr>
      <w:color w:val="000000"/>
      <w:shd w:val="clear" w:color="auto" w:fill="E6E6E6"/>
    </w:rPr>
  </w:style>
  <w:style w:type="paragraph" w:customStyle="1" w:styleId="IgnoredEmptysubclause">
    <w:name w:val="Ignored Empty subclause"/>
    <w:basedOn w:val="Normal"/>
    <w:qFormat/>
    <w:rsid w:val="008D1DA5"/>
    <w:rPr>
      <w:color w:val="000000"/>
    </w:rPr>
  </w:style>
  <w:style w:type="paragraph" w:styleId="Revision">
    <w:name w:val="Revision"/>
    <w:hidden/>
    <w:uiPriority w:val="99"/>
    <w:semiHidden/>
    <w:rsid w:val="008573F0"/>
    <w:pPr>
      <w:spacing w:after="0" w:line="240" w:lineRule="auto"/>
    </w:pPr>
    <w:rPr>
      <w:color w:val="000000"/>
    </w:rPr>
  </w:style>
  <w:style w:type="paragraph" w:customStyle="1" w:styleId="F06B60376D5942FEB7B69578697A76D8">
    <w:name w:val="F06B60376D5942FEB7B69578697A76D8"/>
    <w:rsid w:val="00634DA8"/>
    <w:pPr>
      <w:spacing w:line="276" w:lineRule="auto"/>
    </w:pPr>
    <w:rPr>
      <w:color w:val="000000"/>
    </w:rPr>
  </w:style>
  <w:style w:type="character" w:customStyle="1" w:styleId="LinkExclude">
    <w:name w:val="Link Exclude"/>
    <w:basedOn w:val="DefaultParagraphFont"/>
    <w:uiPriority w:val="1"/>
    <w:qFormat/>
    <w:rsid w:val="008D1DA5"/>
    <w:rPr>
      <w:rFonts w:ascii="Times New Roman" w:hAnsi="Times New Roman"/>
      <w:color w:val="000000"/>
      <w:sz w:val="24"/>
    </w:rPr>
  </w:style>
  <w:style w:type="numbering" w:customStyle="1" w:styleId="ScheduleListStyle">
    <w:name w:val="ScheduleListStyle"/>
    <w:pPr>
      <w:numPr>
        <w:numId w:val="50"/>
      </w:numPr>
    </w:pPr>
  </w:style>
  <w:style w:type="numbering" w:customStyle="1" w:styleId="PartListStyle">
    <w:name w:val="PartListStyle"/>
    <w:pPr>
      <w:numPr>
        <w:numId w:val="54"/>
      </w:numPr>
    </w:pPr>
  </w:style>
  <w:style w:type="numbering" w:customStyle="1" w:styleId="ClauseListStyle">
    <w:name w:val="ClauseListStyle"/>
    <w:pPr>
      <w:numPr>
        <w:numId w:val="59"/>
      </w:numPr>
    </w:pPr>
  </w:style>
  <w:style w:type="paragraph" w:styleId="TOC1">
    <w:name w:val="toc 1"/>
    <w:basedOn w:val="Normal"/>
    <w:next w:val="Normal"/>
    <w:autoRedefine/>
    <w:rsid w:val="00805BCE"/>
    <w:pPr>
      <w:spacing w:after="10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10" Type="http://schemas.openxmlformats.org/officeDocument/2006/relationships/footer" Target="footer3.xml"/><Relationship Id="rId11" Type="http://schemas.openxmlformats.org/officeDocument/2006/relationships/theme" Target="theme/theme1.xml"/><Relationship Id="rId12" Type="http://schemas.openxmlformats.org/officeDocument/2006/relationships/numbering" Target="numbering.xml"/><Relationship Id="rId13" Type="http://schemas.openxmlformats.org/officeDocument/2006/relationships/styles" Target="style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customXml" Target="../customXml/item1.xml"/><Relationship Id="rId5" Type="http://schemas.openxmlformats.org/officeDocument/2006/relationships/customXml" Target="../customXml/item2.xml"/><Relationship Id="rId6" Type="http://schemas.openxmlformats.org/officeDocument/2006/relationships/customXml" Target="../customXml/item3.xml"/><Relationship Id="rId7" Type="http://schemas.openxmlformats.org/officeDocument/2006/relationships/customXml" Target="../customXml/item4.xml"/><Relationship Id="rId8" Type="http://schemas.openxmlformats.org/officeDocument/2006/relationships/footer" Target="footer1.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dm:cachedDataManifest xmlns:cdm="http://schemas.microsoft.com/2004/VisualStudio/Tools/Applications/CachedDataManifest.xsd" cdm:revision="1"/>
</file>

<file path=customXml/item2.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3.xml><?xml version="1.0" encoding="utf-8"?>
<ns30:Sourc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n-document xmlns:xsd="http://www.w3.org/2001/XMLSchema" xmlns:xsi="http://www.w3.org/2001/XMLSchema-instance" guid="0" synced="true" validated="true">
  <n-docbody>
    <standard.doc precedenttype="agreement">
      <prelim>
        <product.name>product.name0</product.name>
        <title>Software as a Service (SaaS) agreement (supplier friendly)</title>
        <author>Practical Law Intellectual Property &amp; Technology</author>
        <resource.type>Standard documents</resource.type>
        <juris>juris0</juris>
        <juris>juris1</juris>
      </prelim>
      <abstract>
        <para>
          <paratext>
            A standard document that provides a supplier-friendly template for a 
            <link href="w-016-0147" style="ACTLinkPLCtoPLC">
              <bold>
                <ital>Software as a Service (SaaS)</ital>
              </bold>
            </link>
             agreement intended for business-to-business transactions in Australia.
          </paratext>
        </para>
        <para>
          <paratext>This document sets out the terms for granting a customer a non-exclusive right to access and use a SaaS offering for its internal business purposes. Key provisions address the scope of use for authorised users, strict usage restrictions and the ownership of intellectual property (IP) rights.</paratext>
        </para>
        <para>
          <paratext>This document establishes a clear framework for risk allocation through limited warranties, specific indemnities for third-party claims, and a significant limitation of the supplier's liability.</paratext>
        </para>
        <para>
          <paratext>
            Furthermore, this document details data protection and privacy obligations consistent with the 
            <ital>Privacy Act 1988</ital>
             (Cth), covering the handling of personal information and procedures for data incidents.
          </paratext>
        </para>
      </abstract>
      <toc.identifier hasToc="true"/>
      <body>
        <drafting.note id="a617552" jurisdiction="">
          <head align="left" preservecase="true">
            <headtext>About this document</headtext>
          </head>
          <division id="a000001" level="1">
            <para>
              <paratext>
                This standard document and the integrated drafting notes are for guidance in drafting and negotiating an agreement for providing SaaS. In a typical SaaS arrangement, the SaaS supplier hosts the 
                <link href="http://www.practicallaw.com/w-016-0147" style="ACTLinkURL">
                  <bold>
                    <ital>software</ital>
                  </bold>
                </link>
                 and permits customers to access the software as a service remotely over the internet or a private network. This arrangement contrasts with the traditional software licensing model through which the licensor delivers the software to the licensee as a tangible product for installation on the customer's systems. SaaS is delivered on a one-to-many distributed basis that typically permits little, if any, customisation, and the SaaS supplier is responsible for operating and maintaining the software.
              </paratext>
            </para>
            <para>
              <paratext>When preparing or reviewing a SaaS agreement, adjust the operative provisions to account for business factors specific to the transaction, including:</paratext>
            </para>
            <list type="bulleted">
              <list.item>
                <para>
                  <paratext>The size and value of the deal.</paratext>
                </para>
              </list.item>
              <list.item>
                <para>
                  <paratext>The client's leverage and position as the supplier.</paratext>
                </para>
              </list.item>
              <list.item>
                <para>
                  <paratext>The status and bargaining position of the prospective customer.</paratext>
                </para>
              </list.item>
              <list.item>
                <para>
                  <paratext>The extent to which negotiating the agreement may delay or jeopardise the closing of the transaction.</paratext>
                </para>
              </list.item>
            </list>
            <para>
              <paratext>
                For further detailed guidance, see 
                <link href="http://www.practicallaw.com/w-009-1089" style="ACTLinkURL">
                  <ital>Checklist, Reviewing or drafting a cloud-based software agreement</ital>
                </link>
                <ital> </ital>
                and Practice notes:
              </paratext>
            </para>
            <list type="bulleted">
              <list.item>
                <para>
                  <paratext>
                    <link href="w-004-0353" style="ACTLinkPLCtoPLC">
                      <ital>Cloud computing overview</ital>
                    </link>
                    <ital>.</ital>
                  </paratext>
                </para>
              </list.item>
              <list.item>
                <para>
                  <paratext>
                    <link href="w-004-8315" style="ACTLinkPLCtoPLC">
                      <ital>Cloud computing agreements</ital>
                    </link>
                    <ital>.</ital>
                  </paratext>
                </para>
              </list.item>
              <list.item>
                <para>
                  <paratext>
                    <link href="http://www.practicallaw.com/w-004-6596" style="ACTLinkURL">
                      <ital>IT outsourcing</ital>
                    </link>
                    <ital>.</ital>
                  </paratext>
                </para>
              </list.item>
            </list>
            <para>
              <paratext>
                For information about software generally, see 
                <link href="w-009-1431" style="ACTLinkPLCtoPLC">
                  <ital>Toolkit, Software</ital>
                </link>
                .
              </paratext>
            </para>
            <division id="a803220" level="2">
              <head align="left" preservecase="true">
                <headtext>Negotiating dynamics</headtext>
              </head>
              <para>
                <paratext>The parties to SaaS agreements may have significantly different market positions and negotiating power. Large suppliers often require that the parties use the supplier's one-sided standard terms and conditions and may refuse to make any material changes for any but their most important customers. On the other hand, small, specialised providers sometimes must deal with large, powerful business customers that insist on using their own one-sided standard terms.</paratext>
              </para>
              <para>
                <paratext>It is not necessarily in either party's best interest to insist on a one-sided contract. This can increase the time to negotiate a final agreement and can lead to disputes between the parties.</paratext>
              </para>
              <para>
                <paratext>
                  Also, if the agreement is a 
                  <link href="w-003-9195" style="ACTLinkPLCtoPLC">
                    <bold>
                      <ital>small business contract</ital>
                    </bold>
                  </link>
                   taking the form of a 
                  <link href="w-003-9194" style="ACTLinkPLCtoPLC">
                    <bold>
                      <ital>standard form contract</ital>
                    </bold>
                  </link>
                  , the 
                  <link href="w-013-1088" style="ACTLinkPLCtoPLC">
                    <bold>
                      <ital>unfair contract terms</ital>
                    </bold>
                  </link>
                   regime will apply. In that case, it will be necessary to ensure that the agreement does not include any provisions that may be an unfair term. For further information and indicators of unfair terms, see 
                  <link anchor="a991243" href="w-038-1906" style="ACTLinkPLCtoPLC">
                    <ital>Checklist, Application of the unfair contract terms regime and assessing whether a term is unfair: Indicators of unfair contract terms</ital>
                  </link>
                  .
                </paratext>
              </para>
              <para>
                <paratext>In SaaS agreements, the most heavily negotiated issues tend to be:</paratext>
              </para>
              <list type="bulleted">
                <list.item>
                  <para>
                    <paratext>
                      Fees and payment (see 
                      <internal.reference refid="a225421">
                        <ital>clause 5</ital>
                      </internal.reference>
                      ).
                    </paratext>
                  </para>
                </list.item>
                <list.item>
                  <para>
                    <paratext>
                      Service levels, if any (see optional 
                      <internal.reference refid="a729244">
                        <ital>clause 4</ital>
                      </internal.reference>
                      ).
                    </paratext>
                  </para>
                </list.item>
                <list.item>
                  <para>
                    <paratext>Allocation of risk and liability.</paratext>
                  </para>
                </list.item>
              </list>
              <para>
                <paratext>Allocation of risk and liability provisions include:</paratext>
              </para>
              <list type="bulleted">
                <list.item>
                  <para>
                    <paratext>
                      <link href="http://www.practicallaw.com/w-004-2113" style="ACTLinkURL">
                        <bold>
                          <ital>Warranties</ital>
                        </bold>
                      </link>
                      <bold>.</bold>
                       Providers typically aim to disclaim all warranties under the agreement but may be willing to warrant that the services conform in all material respects to the service levels when accessed and used according to the documentation (see 
                      <internal.reference refid="a670940">
                        <ital>clause 9</ital>
                      </internal.reference>
                      ).
                    </paratext>
                  </para>
                </list.item>
                <list.item>
                  <para>
                    <paratext>
                      <link href="http://www.practicallaw.com/w-004-5178" style="ACTLinkURL">
                        <bold>
                          <ital>Indemnities</ital>
                        </bold>
                      </link>
                      <bold>.</bold>
                       Customers generally expect the supplier to provide an indemnity for third-party infringement claims (see 
                      <internal.reference refid="a603174">
                        <ital>clause 10</ital>
                      </internal.reference>
                      ).
                    </paratext>
                  </para>
                </list.item>
                <list.item>
                  <para>
                    <paratext>
                      <bold>Limitations of liability.</bold>
                       Each party typically seeks to limit its potential monetary liability for direct damages to a fixed amount (often the amount of fees paid under the agreement) and exclude most or all indirect damages (see 
                      <internal.reference refid="a735017">
                        <ital>clause 11</ital>
                      </internal.reference>
                      ).
                    </paratext>
                  </para>
                </list.item>
              </list>
              <para>
                <paratext>These issues should be addressed as early as possible in the negotiation process.</paratext>
              </para>
            </division>
            <division id="a341320" level="2">
              <head align="left" preservecase="true">
                <headtext>AI-related considerations</headtext>
              </head>
              <para>
                <paratext>
                  This document does not specifically address AI-related considerations. For a collection of Practical Law resources to assist lawyers in identifying potential legal issues concerning AI, see 
                  <link href="http://www.practicallaw.com/w-040-8120" style="ACTLinkURL">
                    <ital>Toolkit, AI</ital>
                  </link>
                  . For current information on the status of Australian AI laws and regulations, see 
                  <link href="w-039-9090" style="ACTLinkPLCtoPLC">
                    <ital>Legislation Tracker, AI regulatory developments</ital>
                  </link>
                  .
                </paratext>
              </para>
            </division>
            <division id="a717220" level="2">
              <head align="left" preservecase="true">
                <headtext>Drafting assumptions</headtext>
              </head>
              <para>
                <paratext>This document assumes that:</paratext>
              </para>
              <list type="bulleted">
                <list.item>
                  <para>
                    <paratext>
                      <bold>The supplier created and is the sole owner of all rights in and to the SaaS offering, except for any third-party products that may be included in the SaaS offering</bold>
                      . This document should be modified for use in situations where the supplier did not create the SaaS offering and is not the sole owner of the software components included in the SaaS offering (excluding any third-party products). In this case, consider including language disclosing the nature and extent of the applicable third-party agreements.
                    </paratext>
                  </para>
                </list.item>
                <list.item>
                  <para>
                    <paratext>
                      <bold>The customer accesses the SaaS offering via the internet or a private network</bold>
                      . The supplier hosts and provides the customer with remote access to the software and is responsible for managing and controlling the SaaS service infrastructure. The SaaS service system and infrastructure may be supplied by a third-party subcontractor (for example, an 
                      <link href="w-016-0149" style="ACTLinkPLCtoPLC">
                        <bold>
                          <ital>Infrastructure as a Service (IaaS)</ital>
                        </bold>
                      </link>
                       supplier), but the supplier bears responsibility for its performance. If the supplier intends to provide software to the customer to be installed and operated on-premises on the customer's computers or network, the parties should enter into an appropriate software license agreement (see, for example, 
                      <link href="w-015-7233" style="ACTLinkPLCtoPLC">
                        <ital>Standard document, Software licence agreement (supplier friendly)</ital>
                      </link>
                      ).
                    </paratext>
                  </para>
                </list.item>
                <list.item>
                  <para>
                    <paratext>
                      <bold>The SaaS offering does not include AI components, features, or functions.</bold>
                       This document should not be used for SaaS offerings that include AI. AI introduces legal, technical and commercial considerations that are outside the scope of this agreement. For:
                    </paratext>
                  </para>
                  <list type="bulleted">
                    <list.item>
                      <para>
                        <paratext>
                          guidance in drafting and negotiating an agreement for providing SaaS including AI features, see 
                          <link href="w-048-8335" style="ACTLinkPLCtoPLC">
                            <ital>Standard document, AI SaaS agreement (customer friendly)</ital>
                          </link>
                          ; and
                        </paratext>
                      </para>
                    </list.item>
                    <list.item>
                      <para>
                        <paratext>
                          example supplemental terms to govern the use of AI features in the form of a schedule to a main agreement, see 
                          <link href="w-048-1224" style="ACTLinkPLCtoPLC">
                            <ital>Standard document, AI SaaS Supplemental Terms (customer friendly)</ital>
                          </link>
                          .
                        </paratext>
                      </para>
                    </list.item>
                  </list>
                </list.item>
              </list>
              <list type="bulleted">
                <list.item>
                  <para>
                    <paratext>
                      <bold>There is a single customer party.</bold>
                       The parties should adjust the agreement as necessary if additional parties, such as the customer's affiliates, are also a party to the agreement. For example, the terms of the agreement should accurately reflect whether the multiple customers' obligations are joint, several, or joint and several.
                    </paratext>
                  </para>
                </list.item>
                <list.item>
                  <para>
                    <paratext>
                      <bold>The supplier does not conduct or offer the customer the opportunity to conduct </bold>
                      <bold>
                        <ital>acceptance testing</ital>
                      </bold>
                      <bold> of the service.</bold>
                       SaaS suppliers typically do not include acceptance testing in their agreements. For information on acceptance testing in a software agreement, see 
                      <link anchor="a712812" href="w-005-1121" style="ACTLinkPLCtoPLC">
                        <ital>Practice note: overview, IT procurement: Acceptance testing</ital>
                      </link>
                      <ital> </ital>
                      and
                      <ital> </ital>
                      <link anchor="a294065" href="w-015-7233" style="ACTLinkPLCtoPLC">
                        <ital>Standard document, Software licence agreement (supplier friendly): clause 2</ital>
                      </link>
                      .
                    </paratext>
                  </para>
                </list.item>
                <list.item>
                  <para>
                    <paratext>
                      <bold>The parties are not entering into a SaaS escrow agreement.</bold>
                       SaaS agreements do not typically provide for 
                      <link href="http://www.practicallaw.com/w-007-1680" style="ACTLinkURL">
                        <bold>
                          <ital>source code escrow</ital>
                        </bold>
                      </link>
                      . However, if the SaaS offering is mission critical, customers may want to consider a SaaS escrow arrangement that provides for mirrored SaaS services, by or through the escrow agent, to ensure business continuity, for example, if the supplier ceases to operate (see 
                      <link href="w-007-5244" style="ACTLinkPLCtoPLC">
                        <ital>Practice note, Software escrow agreements</ital>
                      </link>
                      ).
                    </paratext>
                  </para>
                </list.item>
                <list.item>
                  <para>
                    <paratext>
                      <bold>The SaaS offering is to be used only for the customer's internal business purposes.</bold>
                       This agreement is not intended for use where the customer desires to resell or distribute SaaS access or make the SaaS offering generally available to other businesses.
                    </paratext>
                  </para>
                </list.item>
                <list.item>
                  <para>
                    <paratext>
                      <bold>The supplier and the customer are companies incorporated in Australia, and the SaaS offering is to be used in Australia. </bold>
                      If either party is organised or operates in a foreign jurisdiction or the SaaS offering is to be used in a foreign jurisdiction, the agreement may need to be modified to comply with applicable local laws.
                    </paratext>
                  </para>
                </list.item>
                <list.item>
                  <para>
                    <paratext>
                      <bold>The agreement is for a business-to-business transaction. </bold>
                      This document should not be used for providing SaaS access to individual consumers, which may involve additional legal and regulatory requirements and practical considerations that are beyond the scope of this document. See also, 
                      <internal.reference refid="a803220">
                        <ital>Drafting note, Negotiating dynamics</ital>
                      </internal.reference>
                      .
                    </paratext>
                  </para>
                </list.item>
              </list>
            </division>
          </division>
        </drafting.note>
        <intro default="false">
          <intro.date>This agreement is dated [DATE].</intro.date>
        </intro>
        <parties>
          <head align="left" preservecase="true">
            <headtext>PARTIES</headtext>
          </head>
          <drafting.note id="a563409" jurisdiction="">
            <head align="left" preservecase="true">
              <headtext>Parties</headtext>
            </head>
            <division id="a000002" level="1">
              <para>
                <paratext>It is essential to identify the appropriate parties to the agreement or transaction contemplated by the agreement. This ensures that the correct parties are legally bound by the terms of the agreement. Corporate parties should be described by their Australian Company Number (ACN) or Australian Business Number (ABN), as well as the full name and registered office address of the company. The ACN or ABN is particularly important because it is not subject to change, unlike the company's name and registered office address.</paratext>
              </para>
              <para>
                <paratext>
                  It is also essential to establish the capacity in which a party is entering into the agreement. A party may be acting in its own personal capacity, or may be acting as 
                  <link href="w-003-4405" style="ACTLinkPLCtoPLC">
                    <bold>
                      <ital>trustee</ital>
                    </bold>
                  </link>
                  , custodian or otherwise on behalf of another person or entity. Where a party is acting as a trustee, the agreement should specifically state that capacity and identify any trust on behalf of which that party is acting. This would, however, be unusual in a commercial transaction of this nature.
                </paratext>
              </para>
              <para>
                <paratext>
                  For further information regarding execution of deeds and agreements by a trustee, see 
                  <link anchor="a199729" href="w-002-5372" style="ACTLinkPLCtoPLC">
                    <ital>Toolkit, Execution of deeds, agreements and documents: Trustees</ital>
                  </link>
                  .
                </paratext>
              </para>
            </division>
          </drafting.note>
          <party executionmethod="contract" id="a149737" status="company">
            <identifier>(1)</identifier>
            <defn.item>
              <defn>
                <para>
                  <paratext>[FULL COMPANY NAME] [ACN OR ABN] [NUMBER] of [REGISTERED OFFICE ADDRESS]</paratext>
                </para>
              </defn>
              <defn.term>Supplier</defn.term>
            </defn.item>
          </party>
          <party executionmethod="contract" id="a505255" status="company">
            <identifier>(2)</identifier>
            <defn.item>
              <defn>
                <para>
                  <paratext>[FULL COMPANY NAME] [ACN OR ABN] [NUMBER] of [REGISTERED OFFICE ADDRESS]</paratext>
                </para>
              </defn>
              <defn.term>Customer</defn.term>
            </defn.item>
          </party>
        </parties>
        <recitals>
          <head align="left" preservecase="true">
            <headtext>BACKGROUND</headtext>
          </head>
          <drafting.note id="a590804" jurisdiction="">
            <head align="left" preservecase="true">
              <headtext>Background</headtext>
            </head>
            <division id="a000003" level="1">
              <para>
                <paratext>This section, sometimes referred to as the recitals, sets out the background and purpose of the agreement. It can be a useful point to introduce unusual or complex features of the transaction that will assist the parties and their advisers in negotiating its terms. This helps with general contract interpretation because it sets the scene for the parties' agreement.</paratext>
              </para>
              <para>
                <paratext>Most importantly, this section does not form part of the agreement's operative terms. There should not be any rights or obligations of the parties set out in this section, as its provisions are not intended to have any direct legal consequences.</paratext>
              </para>
              <para>
                <paratext>However, this section is important because it can provide evidence of the parties' intentions at the time they are entering into the agreement. This can be very useful where a dispute arises in future and a party wishes to establish another party's intentions at the time they entered into the agreement.</paratext>
              </para>
            </division>
          </drafting.note>
          <clause id="a219595">
            <identifier>(A)</identifier>
            <para>
              <paratext>The Supplier is the proprietor of the Services.</paratext>
            </para>
          </clause>
          <clause id="a541472">
            <identifier>(B)</identifier>
            <para>
              <paratext>
                <lang val="en-US">The Customer desires to access and use the Supplier's Services for its internal business purposes.</lang>
              </paratext>
            </para>
          </clause>
          <clause id="a239082">
            <identifier>(C)</identifier>
            <para>
              <paratext>
                <lang val="en-US">The Supplier agrees to provide access to the Customer to use the Supplier's Services in accordance with the terms and conditions of this Agreement.</lang>
              </paratext>
            </para>
          </clause>
        </recitals>
        <operative xrefname="clause">
          <head align="left" preservecase="true">
            <headtext>AGREED TERMS</headtext>
          </head>
          <clause id="a402829">
            <identifier>1.</identifier>
            <head align="left" preservecase="true">
              <headtext>Definitions and interpretation</headtext>
            </head>
            <drafting.note id="a969602" jurisdiction="">
              <head align="left" preservecase="true">
                <headtext>Definitions and interpretation</headtext>
              </head>
              <division id="a000004" level="1">
                <para>
                  <paratext>
                    This 
                    <internal.reference refid="a402829">
                      <ital>clause 1</ital>
                    </internal.reference>
                     sets out the definitions and rules of interpretation that apply in this document.
                  </paratext>
                </para>
                <para>
                  <paratext>The main purpose of this clause is to reduce repetition and make the agreement clearer and more concise. This is achieved by:</paratext>
                </para>
                <list type="bulleted">
                  <list.item>
                    <para>
                      <paratext>Giving specific meanings to particular words used in the agreement. This avoids ambiguity and assists interpretation of the agreement by clearly stating the meaning of a particular term, rather than parties having to rely on an interpretation of its ordinary meaning.</paratext>
                    </para>
                  </list.item>
                  <list.item>
                    <para>
                      <paratext>Setting out general rules that allow the parties to interpret certain words or phrases in a consistent manner, and that clarify the meaning of particular references when used in the agreement.</paratext>
                    </para>
                  </list.item>
                </list>
                <para>
                  <paratext>
                    For more information, see the drafting notes in 
                    <link href="w-001-4691" style="ACTLinkPLCtoPLC">
                      <ital>Standard clause, Definitions and interpretation</ital>
                    </link>
                    .
                  </paratext>
                </para>
              </division>
            </drafting.note>
            <subclause1 id="a250957">
              <identifier>1.1</identifier>
              <head align="left" preservecase="true">
                <headtext>Definitions</headtext>
              </head>
              <defn.item id="a186745">
                <defn.term>Agreement</defn.term>
                <defn>
                  <para>
                    <paratext>this Software as a Service agreement between the Supplier and the Customer.</paratext>
                  </para>
                </defn>
              </defn.item>
              <defn.item condition="optional" id="a530403">
                <defn.term>Aggregated Statistics</defn.term>
                <defn>
                  <para>
                    <paratext>data and information related to the Customer's use of the Services that is used by the Supplier in an aggregate and [anonymised OR de-identified] manner, including to compile statistical and performance information related to the provision and operation of the Services.</paratext>
                  </para>
                </defn>
                <drafting.note id="a609519" jurisdiction="">
                  <head align="left" preservecase="true">
                    <headtext>Aggregated Statistics (optional)</headtext>
                  </head>
                  <division id="a000005" level="1">
                    <para>
                      <paratext>
                        Include this definition if the SaaS supplier compiles, collects and uses aggregated statistical data derived from the customer's use of the services, as further detailed in optional 
                        <internal.reference refid="a769492">
                          <ital>clause 2.8</ital>
                        </internal.reference>
                        .
                      </paratext>
                    </para>
                    <para>
                      <paratext>
                        Wherever possible only 
                        <link href="w-009-7699" style="ACTLinkPLCtoPLC">
                          <bold>
                            <ital>de-identified</ital>
                          </bold>
                        </link>
                         data should be used in the supplier's data analytics projects relating to the customer's use of the services. Data that has been effectively de-identified is no longer 
                        <link href="w-003-9190" style="ACTLinkPLCtoPLC">
                          <bold>
                            <ital>personal information</ital>
                          </bold>
                        </link>
                         under the 
                        <ital>Privacy Act 1988</ital>
                         (Cth) and the 
                        <link href="http://www.practicallaw.com/w-005-8244" style="ACTLinkURL">
                          <bold>
                            <ital>Australian Privacy Principles (APPs)</ital>
                          </bold>
                        </link>
                         will not apply to that data in that context. However, while the APPs may not apply to data that is de-identified in one specific context, the same data could become personal information in a different context. Therefore, as a matter of risk management, the supplier should handle de-identified data in a way that is consistent with the requirements of the APPs, especially APPs 6, 8 and 11. For further information, see 
                        <link href="https://www.oaic.gov.au/privacy/privacy-guidance-for-organisations-and-government-agencies/handling-personal-information/de-identification-and-the-privacy-act" style="ACTLinkURL">
                          <ital>OAIC: De-identification and the Privacy Act</ital>
                        </link>
                        .
                      </paratext>
                    </para>
                    <para>
                      <paratext>For further detailed guidance, see:</paratext>
                    </para>
                    <list type="bulleted">
                      <list.item>
                        <para>
                          <paratext>
                            <link anchor="a264986" href="w-004-0353" style="ACTLinkPLCtoPLC">
                              <ital>Practice note, Cloud computing overview: Privacy issues in cloud computing</ital>
                            </link>
                            <ital>.</ital>
                          </paratext>
                        </para>
                      </list.item>
                      <list.item>
                        <para>
                          <paratext>
                            <link href="w-032-5439" style="ACTLinkPLCtoPLC">
                              <ital>Toolkit, Data protection and privacy</ital>
                            </link>
                            .
                          </paratext>
                        </para>
                      </list.item>
                    </list>
                  </division>
                </drafting.note>
              </defn.item>
              <defn.item id="a638215">
                <defn.term>APP</defn.term>
                <defn>
                  <para>
                    <paratext>an Australian Privacy Principle as defined in the Privacy Act.</paratext>
                  </para>
                </defn>
              </defn.item>
              <defn.item id="a849088">
                <defn.term>APP Entity</defn.term>
                <defn>
                  <para>
                    <paratext>the definition given in the Privacy Act.</paratext>
                  </para>
                </defn>
              </defn.item>
              <defn.item id="a915230">
                <defn.term>ACL</defn.term>
                <defn>
                  <para>
                    <paratext>the Australian Consumer Law (as set out in Schedule 2 to the Competition and Consumer Act 2010 (Cth)).</paratext>
                  </para>
                </defn>
              </defn.item>
              <defn.item id="a292271">
                <defn.term>Authorised User</defn.term>
                <defn>
                  <para>
                    <paratext>the Customer's employees, consultants, contractors, and agents:</paratext>
                  </para>
                  <list type="loweralpha">
                    <list.item>
                      <para>
                        <paratext>who are authorised by the Customer to access and use the Services under the rights granted to the Customer under this Agreement; and</paratext>
                      </para>
                    </list.item>
                    <list.item>
                      <para>
                        <paratext>for whom access to the Services has been purchased.</paratext>
                      </para>
                    </list.item>
                  </list>
                </defn>
                <drafting.note id="a506191" jurisdiction="">
                  <head align="left" preservecase="true">
                    <headtext>Authorised User</headtext>
                  </head>
                  <division id="a000006" level="1">
                    <para>
                      <paratext>The definition of authorised user can vary based on the type of authorisation and its scope. For example, the authorised users may be either:</paratext>
                    </para>
                    <list type="bulleted">
                      <list.item>
                        <para>
                          <paratext>Defined as all customer employees, consultants, contractors and agents as set out in this definition.</paratext>
                        </para>
                      </list.item>
                      <list.item>
                        <para>
                          <paratext>More narrowly limited to only the customer's employees and contractors.</paratext>
                        </para>
                      </list.item>
                    </list>
                    <para>
                      <paratext>SaaS suppliers are typically less concerned with the classification of an authorised user as an employee, consultant, contractor or agent and more concerned with whether a customer has authorised the user to access the services and paid for the access. The authorised users under the agreement may also be limited to a certain maximum number.</paratext>
                    </para>
                    <para>
                      <paratext>The parties should both:</paratext>
                    </para>
                    <list type="bulleted">
                      <list.item>
                        <para>
                          <paratext>Set out the number or categories of authorised users in the body of the agreement or an attached schedule.</paratext>
                        </para>
                      </list.item>
                      <list.item>
                        <para>
                          <paratext>
                            Include a procedure for the customer to add or remove users if, for example, the agreement limits or assesses fees based on the number of authorised users (see, for example, the optional language in 
                            <internal.reference refid="a540559">
                              <ital>clause 2.1</ital>
                            </internal.reference>
                            ).
                          </paratext>
                        </para>
                      </list.item>
                    </list>
                  </division>
                </drafting.note>
              </defn.item>
              <defn.item id="a884515">
                <defn.term>Business Day</defn.term>
                <defn>
                  <para>
                    <paratext>a day on which banks are open for business in [CITY], other than a Saturday, Sunday or public holiday in that city.</paratext>
                  </para>
                </defn>
              </defn.item>
              <defn.item id="a599929">
                <defn.term>Commencement Date</defn.term>
                <defn>
                  <para>
                    <paratext>
                      the date this Agreement is to commence set out in 
                      <internal.reference refid="a637104">
                        <ital>Part 1</ital>
                      </internal.reference>
                      <defn.term> of </defn.term>
                      <internal.reference refid="a172476">
                        <ital>Schedule 1</ital>
                      </internal.reference>
                      .
                    </paratext>
                  </para>
                </defn>
              </defn.item>
              <defn.item id="a130431">
                <defn.term>Confidential Information</defn.term>
                <defn>
                  <para>
                    <paratext>includes the following:</paratext>
                  </para>
                  <list type="loweralpha">
                    <list.item>
                      <para>
                        <paratext>any information of a confidential nature concerning the business, affairs, customers, clients or suppliers of a party or any of its Related Bodies Corporate, including but not limited to information relating to a party's operations, processes, plans, product information, know-how, designs, trade secrets, software, market opportunities and customer lists[. OR ; and]</paratext>
                      </para>
                    </list.item>
                    <list.item>
                      <para>
                        <paratext>[Customer Data[. OR ; and]]</paratext>
                      </para>
                    </list.item>
                    <list.item>
                      <para>
                        <paratext>[the terms of this Agreement.]</paratext>
                      </para>
                    </list.item>
                  </list>
                </defn>
                <drafting.note id="a732696" jurisdiction="">
                  <head align="left" preservecase="true">
                    <headtext>Confidential Information</headtext>
                  </head>
                  <division id="a000007" level="1">
                    <para>
                      <paratext>This definition of confidential information is drafted using party-neutral language and is relatively broad in scope, which is typical for commercial agreements generally. In some circumstances, it may be appropriate to describe the information in a schedule to this agreement.</paratext>
                    </para>
                    <para>
                      <paratext>
                        Optional paragraph (b) expressly provides for Customer Data to be treated as confidential information, notwithstanding that there will be categories of information within that definition that are not strictly confidential. This is addressed in the carve-out in 
                        <internal.reference refid="a991097">
                          <ital>clause 7.1(a)</ital>
                        </internal.reference>
                        .
                      </paratext>
                    </para>
                    <para>
                      <paratext>If the supplier wants the terms of this agreement itself to be confidential, for example, because of sensitivity to disclosure of competitive prices and pricing terms, include optional paragraph (c).</paratext>
                    </para>
                  </division>
                </drafting.note>
              </defn.item>
              <defn.item id="a893369">
                <defn.term>Corporations Act</defn.term>
                <defn>
                  <para>
                    <paratext>
                      the 
                      <ital>Corporations Act 2001 </ital>
                      (Cth).
                    </paratext>
                  </para>
                </defn>
              </defn.item>
              <defn.item id="a811998">
                <defn.term>Customer Data</defn.term>
                <defn>
                  <para>
                    <paratext>[other than Aggregated Statistics,] any information, data, and other content, in any form or medium, that is submitted, posted, or otherwise transmitted by or on behalf of Customer or an Authorised User through or in connection with the Services.</paratext>
                  </para>
                </defn>
                <drafting.note id="a198394" jurisdiction="">
                  <head align="left" preservecase="true">
                    <headtext>Customer Data</headtext>
                  </head>
                  <division id="a000008" level="1">
                    <para>
                      <paratext>
                        The customer typically seeks to protect the confidentiality of and reserve its ownership rights in data that it submits to the SaaS offering. Terms protecting the customer's rights in this customer data (see 
                        <internal.reference refid="a151506">
                          <ital>clause 8.2</ital>
                        </internal.reference>
                        ) are generally non-controversial and not often heavily negotiated.
                      </paratext>
                    </para>
                  </division>
                </drafting.note>
              </defn.item>
              <defn.item id="a205549">
                <defn.term>Data Breach Investigation</defn.term>
                <defn>
                  <para>
                    <paratext>
                      an investigation as required to be carried out in accordance with 
                      <internal.reference refid="a569496">
                        <ital>clause 13.4(c)</ital>
                      </internal.reference>
                      .
                    </paratext>
                  </para>
                </defn>
              </defn.item>
              <defn.item id="a494275">
                <defn.term>Data Incident</defn.term>
                <defn>
                  <para>
                    <paratext>an Eligible Data Breach that has, or is reasonably suspected to have, occurred in respect of any Personal Information the Supplier has collected, held, used or disclosed in the course of or relating to this Agreement.</paratext>
                  </para>
                </defn>
              </defn.item>
              <defn.item id="a177178">
                <defn.term>Documentation</defn.term>
                <defn>
                  <para>
                    <paratext>the Supplier's [user manuals, handbooks and guides relating to the Services provided by the Supplier to the Customer either electronically or in hard copy form OR end user documentation relating to the Services available at [URL]].</paratext>
                  </para>
                </defn>
              </defn.item>
              <defn.item id="a211906">
                <defn.term>Eligible Data Breach</defn.term>
                <defn>
                  <para>
                    <paratext>an eligible data breach as that term is defined in the Privacy Act.</paratext>
                  </para>
                </defn>
              </defn.item>
              <defn.item condition="optional" id="a707068">
                <defn.term>Feedback</defn.term>
                <defn>
                  <para>
                    <paratext>any communications or materials provided by the Customer or an Authorised User to the Supplier by mail, email, telephone or otherwise, suggesting or recommending changes to the Supplier IP, including without limitation, new features or functionality relating thereto, or any comments, questions, suggestions or the like.</paratext>
                  </para>
                </defn>
                <drafting.note id="a579698" jurisdiction="">
                  <head align="left" preservecase="true">
                    <headtext>Feedback (optional)</headtext>
                  </head>
                  <division id="a000009" level="1">
                    <para>
                      <paratext>
                        This definition is used in optional 
                        <internal.reference refid="a885764">
                          <ital>clause 8.4</ital>
                        </internal.reference>
                         and optional 
                        <internal.reference refid="a134466">
                          <ital>clause 8.5</ital>
                        </internal.reference>
                         and should be deleted if those clauses are not used in this Agreement. See 
                        <internal.reference refid="a135153">
                          <ital>Drafting note, Feedback (optional)</ital>
                        </internal.reference>
                        .
                      </paratext>
                    </para>
                  </division>
                </drafting.note>
              </defn.item>
              <defn.item id="a401312">
                <defn.term>Fees</defn.term>
                <defn>
                  <para>
                    <paratext>
                      the fees as specified in 
                      <internal.reference refid="a314103">
                        <ital>Part 2</ital>
                      </internal.reference>
                      <defn.term> of </defn.term>
                      <internal.reference refid="a172476">
                        <ital>Schedule 1</ital>
                      </internal.reference>
                      .
                    </paratext>
                  </para>
                </defn>
              </defn.item>
              <defn.item id="a501327">
                <defn.term>Force Majeure Event</defn.term>
                <defn>
                  <para>
                    <paratext>
                      the definition given in 
                      <internal.reference refid="a483622">
                        <ital>clause 15.9(a)</ital>
                      </internal.reference>
                      .
                    </paratext>
                  </para>
                </defn>
              </defn.item>
              <defn.item id="a796476">
                <defn.term>Government Agency</defn.term>
                <defn>
                  <para>
                    <paratext>any government or governmental, administrative, monetary, fiscal or judicial body, department, commission, authority, tribunal, agency or entity in any part of the world.</paratext>
                  </para>
                  <para>
                    <paratext>
                      <bold>GST</bold>
                      : the definition given to that term in the GST Act.
                    </paratext>
                  </para>
                </defn>
              </defn.item>
              <defn.item id="a397462">
                <defn.term>GST Act</defn.term>
                <defn>
                  <para>
                    <paratext>
                      the 
                      <ital>A New Tax System (Goods and Services Tax) Act 1999</ital>
                       (Cth).
                    </paratext>
                  </para>
                </defn>
              </defn.item>
              <defn.item id="a867684">
                <defn.term>GST Law</defn.term>
                <defn>
                  <para>
                    <paratext>the definition given to that term in the GST Act.</paratext>
                  </para>
                </defn>
              </defn.item>
              <defn.item id="a235238">
                <defn.term>Initial Term</defn.term>
                <defn>
                  <para>
                    <paratext>
                      the definition given in 
                      <internal.reference refid="a461055">
                        <ital>clause 12.1</ital>
                      </internal.reference>
                      .
                    </paratext>
                  </para>
                </defn>
              </defn.item>
              <defn.item id="a245355">
                <defn.term>Insolvency Event</defn.term>
                <defn>
                  <para>
                    <paratext>the occurrence of any one or more of the following events in relation to a party:</paratext>
                  </para>
                  <list type="loweralpha">
                    <list.item>
                      <para>
                        <paratext>it is insolvent as defined by section 95A of the Corporations Act as disclosed in its accounts or otherwise, states that it is insolvent, is presumed to be insolvent under an applicable law (including under section 459C(2) or section 585 of the Corporations Act) or otherwise is, or states that it is, unable to pay all its debts as and when they become due and payable;</paratext>
                      </para>
                    </list.item>
                    <list.item>
                      <para>
                        <paratext>any step is taken to appoint a receiver, a receiver and manager, a liquidator or a provisional liquidator or other like person to it or any of its assets, operations or business;</paratext>
                      </para>
                    </list.item>
                    <list.item>
                      <para>
                        <paratext>an administrator is appointed to it under section 436A, section 436B or section 436C of the Corporations Act;</paratext>
                      </para>
                    </list.item>
                    <list.item>
                      <para>
                        <paratext>a controller (as defined in section 9 of the Corporations Act) is appointed to it or any of its assets;</paratext>
                      </para>
                    </list.item>
                    <list.item>
                      <para>
                        <paratext>an application is made to a court for an order, or an order is made, that it be wound up, declared bankrupt or that a provisional liquidator, receiver or receiver and manager be appointed, and that application is not withdrawn, struck out or dismissed within [15 OR [NUMBER]] Business Days of it being made;</paratext>
                      </para>
                    </list.item>
                    <list.item>
                      <para>
                        <paratext>any step is taken to enter into an arrangement or composition with one or more of its creditors, or an assignment for the benefit of one or more of its creditors[, in each case other than to carry out a reconstruction or amalgamation while solvent];</paratext>
                      </para>
                    </list.item>
                    <list.item>
                      <para>
                        <paratext>it proposes a winding-up, dissolution or reorganisation, moratorium, deed of company arrangement or other administration involving one or more of its creditors;</paratext>
                      </para>
                    </list.item>
                    <list.item>
                      <para>
                        <paratext>it is taken to have failed to comply with a statutory demand under section 459F(1) of the Corporations Act;</paratext>
                      </para>
                    </list.item>
                    <list.item>
                      <para>
                        <paratext>a notice is issued under section 601AA or section 601AB of the Corporations Act [and not withdrawn or dismissed within [15 OR [NUMBER]] Business Days];</paratext>
                      </para>
                    </list.item>
                    <list.item>
                      <para>
                        <paratext>a writ of execution [for an amount of in excess of $[AMOUNT]] is levied against it or [a material part of] its property [that is not dismissed within [15 OR [NUMBER]] Business Days];</paratext>
                      </para>
                    </list.item>
                    <list.item>
                      <para>
                        <paratext>it ceases to carry on business or threatens to do so, other than in accordance with the terms of this Agreement; or</paratext>
                      </para>
                    </list.item>
                    <list.item>
                      <para>
                        <paratext>anything that occurs under the law of any jurisdiction that has a substantially similar effect to any of the events set out in paragraphs (a) to (k) of this definition.</paratext>
                      </para>
                    </list.item>
                  </list>
                </defn>
                <drafting.note id="a888062" jurisdiction="">
                  <head align="left" preservecase="true">
                    <headtext>Insolvency Event</headtext>
                  </head>
                  <division id="a000010" level="1">
                    <para>
                      <paratext>
                        This comprehensive definition of an insolvency event provides several alternative definitions for an event that could cause a party to become unable to pay all its debts as and when they become due and payable. It is relevant to 
                        <internal.reference refid="a150021">
                          <ital>clause 12.6</ital>
                        </internal.reference>
                         (see 
                        <internal.reference refid="a154779">
                          <ital>Drafting note, Termination for insolvency and ipso facto</ital>
                        </internal.reference>
                        ).
                      </paratext>
                    </para>
                    <para>
                      <paratext>
                        For further information, see 
                        <link anchor="a209797" href="w-006-3255" style="ACTLinkPLCtoPLC">
                          <ital>Standard clause, Termination: Drafting note, Definition of Insolvency Event</ital>
                        </link>
                        .
                      </paratext>
                    </para>
                  </division>
                </drafting.note>
              </defn.item>
              <defn.item id="a105086">
                <defn.term>Intellectual Property Rights</defn.term>
                <defn>
                  <para>
                    <paratext>patents, rights to inventions, copyright and related rights, trade marks, business names and domain names, rights in get-up, goodwill and the right to sue for passing off, rights in designs and unregistered designs, topography rights and database rights, rights to use, and protect the confidentiality of, confidential information (including know-how, trade secrets and datasets), technology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that subsist now or in the future, anywhere in the world.</paratext>
                  </para>
                </defn>
                <drafting.note id="a541247" jurisdiction="">
                  <head align="left" preservecase="true">
                    <headtext>Intellectual Property Rights</headtext>
                  </head>
                  <division id="a000011" level="1">
                    <para>
                      <paratext>
                        The definition of 
                        <link href="w-013-2150" style="ACTLinkPLCtoPLC">
                          <bold>
                            <ital>intellectual property rights</ital>
                          </bold>
                        </link>
                        <bold>
                          <ital> </ital>
                        </bold>
                        is based on Australian law but is drafted broadly to include rights that are not specifically recognised in Australia or may not subsist due to the nature of certain types of subject matter. For example, Australia (unlike the United Kingdom) does not have a concept of an unregistered design right.
                      </paratext>
                    </para>
                    <para>
                      <paratext>The general wording used in the definition seeks to include similar or equivalent forms of protection worldwide.</paratext>
                    </para>
                    <para>
                      <paratext>
                        For further information, see 
                        <link href="w-013-4381" style="ACTLinkPLCtoPLC">
                          <ital>Standard clause, Definition of intellectual property rights</ital>
                        </link>
                        .
                      </paratext>
                    </para>
                  </division>
                </drafting.note>
              </defn.item>
              <defn.item id="a429708">
                <defn.term>Interest Rate</defn.term>
                <defn>
                  <para>
                    <paratext>for a given date, the daily cash rate set by the Reserve Bank of Australia and displayed at or about 10:30 am (Sydney time) on that date on the Reserve Bank of Australia website.</paratext>
                  </para>
                </defn>
                <drafting.note id="a304489" jurisdiction="">
                  <head align="left" preservecase="true">
                    <headtext>Interest Rate</headtext>
                  </head>
                  <division id="a000012" level="1">
                    <para>
                      <paratext>
                        This definition is used to set the default interest rate in 
                        <internal.reference refid="a937615">
                          <ital>clause 15.15</ital>
                        </internal.reference>
                        . In the default context, the applicable rate is commonly defined to be the reference rate plus a certain additional fixed percentage. If default interest is calculated by another method or rate, delete this definition.
                      </paratext>
                    </para>
                  </division>
                </drafting.note>
              </defn.item>
              <defn.item id="a115561">
                <defn.term>Notice</defn.term>
                <defn>
                  <para>
                    <paratext>
                      the definition given in 
                      <internal.reference refid="a452006">
                        <ital>clause 14.1</ital>
                      </internal.reference>
                      .
                    </paratext>
                  </para>
                </defn>
              </defn.item>
              <defn.item id="a955962">
                <defn.term>Personal Information</defn.term>
                <defn>
                  <para>
                    <paratext>personal information as that term is defined in the Privacy Act.</paratext>
                  </para>
                </defn>
              </defn.item>
              <defn.item id="a299692">
                <defn.term>Privacy Act</defn.term>
                <defn>
                  <para>
                    <paratext>
                      the 
                      <ital>Privacy Act 1988</ital>
                       (Cth).
                    </paratext>
                  </para>
                </defn>
              </defn.item>
              <defn.item id="a189610">
                <defn.term>Privacy Policy</defn.term>
                <defn>
                  <para>
                    <paratext>
                      the Supplier's privacy policy [set out in 
                      <internal.reference refid="a489859">
                        <ital>Part 1</ital>
                      </internal.reference>
                      <defn.term> of </defn.term>
                      <internal.reference refid="a206850">
                        <ital>Schedule 2</ital>
                      </internal.reference>
                      <defn.term> OR</defn.term>
                       detailed on the Supplier's website located at [PROVIDER'S WEBSITE ADDRESS]] as amended from time to time.
                    </paratext>
                  </para>
                </defn>
                <drafting.note id="a306492" jurisdiction="">
                  <head align="left" preservecase="true">
                    <headtext>Privacy Policy</headtext>
                  </head>
                  <division id="a000013" level="1">
                    <para>
                      <paratext>
                        For a template privacy policy, with associated drafting notes, for use by an organisation in relation to the collection, storage and use of non-sensitive personal information from customers, see 
                        <link href="w-005-0463" style="ACTLinkPLCtoPLC">
                          <ital>Standard document, Privacy policy</ital>
                        </link>
                        .
                      </paratext>
                    </para>
                  </division>
                </drafting.note>
              </defn.item>
              <defn.item id="a716267">
                <defn.term>Related Body Corporate</defn.term>
                <defn>
                  <para>
                    <paratext>the definition given in section 9 of the Corporations Act.</paratext>
                  </para>
                </defn>
              </defn.item>
              <defn.item condition="optional" id="a609723">
                <defn.term>Renewal Term</defn.term>
                <defn>
                  <para>
                    <paratext>
                      the definition given in 
                      <internal.reference refid="a292785">
                        <ital>clause 12.2</ital>
                      </internal.reference>
                      .
                    </paratext>
                  </para>
                </defn>
              </defn.item>
              <defn.item id="a620932">
                <defn.term>Security Measures</defn.term>
                <defn>
                  <para>
                    <paratext>
                      the Supplier's [data security policy 
                      <bold>OR</bold>
                       [CUSTOM NAME OF POLICY]] [set out in 
                      <internal.reference refid="a295179">
                        <ital>Part 2</ital>
                      </internal.reference>
                      <defn.term> of </defn.term>
                      <internal.reference refid="a206850">
                        <ital>Schedule 2</ital>
                      </internal.reference>
                      <defn.term> OR</defn.term>
                       detailed on the Supplier's website located at [PROVIDER'S WEBSITE ADDRESS]] as amended from time to time.
                    </paratext>
                  </para>
                </defn>
              </defn.item>
              <defn.item id="a464605">
                <defn.term>Sensitive Information</defn.term>
                <defn>
                  <para>
                    <paratext>sensitive information as that term is defined in the Privacy Act.</paratext>
                  </para>
                </defn>
              </defn.item>
              <defn.item condition="optional" id="a932133">
                <defn.term>Service Levels</defn.term>
                <defn>
                  <para>
                    <paratext>
                      the service levels described [in 
                      <internal.reference refid="a834905">
                        <ital>Schedule 3</ital>
                      </internal.reference>
                      <defn.term> OR</defn.term>
                       on the Supplier's website located at [SUPPLIER'S WEBSITE ADDRESS]] as amended from time to time.
                    </paratext>
                  </para>
                </defn>
              </defn.item>
              <defn.item id="a677326">
                <defn.term>Services</defn.term>
                <defn>
                  <para>
                    <paratext>
                      the Software as a Service offering [[DESCRIPTION] OR described in 
                      <internal.reference refid="a267351">
                        <ital>Part 4</ital>
                      </internal.reference>
                      <defn.term> of </defn.term>
                      <internal.reference refid="a172476">
                        <ital>Schedule 1</ital>
                      </internal.reference>
                      ] supplied (or to be supplied) by the Supplier to the Customer as amended, updated, altered, modified or enhanced from time to time.
                    </paratext>
                  </para>
                </defn>
              </defn.item>
              <defn.item id="a338893">
                <defn.term>Service Suspension</defn.term>
                <defn>
                  <para>
                    <paratext>
                      any suspension described in 
                      <internal.reference refid="a258409">
                        <ital>clause 2.6(a)</ital>
                      </internal.reference>
                      <defn.term>, </defn.term>
                      <internal.reference refid="a663052">
                        <ital>clause 2.6(b)</ital>
                      </internal.reference>
                      <defn.term> or </defn.term>
                      <internal.reference refid="a336663">
                        <ital>clause 2.6(c)</ital>
                      </internal.reference>
                      .
                    </paratext>
                  </para>
                </defn>
              </defn.item>
              <defn.item id="a920664">
                <defn.term>Supplier IP</defn.term>
                <defn>
                  <para>
                    <paratext>any and all Intellectual Property Rights in the Services and the Documentation and any templates, formats, dashboards and the like as modified or improved from time to time that are accessible by or generated from the Customer's use of the Services, excluding any Customer Data. For the avoidance of doubt, Supplier IP [includes any Aggregated Statistics and any information, data, or other content derived from the Supplier's monitoring of the Customer's access to or use of the Services, but] does not include Customer Data.</paratext>
                  </para>
                </defn>
                <drafting.note id="a774570" jurisdiction="">
                  <head align="left" preservecase="true">
                    <headtext>Supplier IP</headtext>
                  </head>
                  <division id="a000014" level="1">
                    <para>
                      <paratext>It is important that this definition includes "templates, formats, dashboards and the like … accessible by or generated from the Customer's use of the Services" to ensure that the Supplier retains any intellectual property (IP) rights that subsist in, for example, the template and structure of reports able to be generated from its SaaS offering, which will be accessible and utilised by multiple customers, excluding any Customer Data in such reports.</paratext>
                    </para>
                    <para>
                      <paratext>
                        Include the optional language if the SaaS supplier compiles, collects and uses aggregated statistical data derived from the customer's use of the services, as further detailed in 
                        <internal.reference refid="a769492">
                          <ital>clause 2.8</ital>
                        </internal.reference>
                        .
                      </paratext>
                    </para>
                  </division>
                </drafting.note>
              </defn.item>
              <defn.item condition="optional" id="a674662">
                <defn.term>Support Services</defn.term>
                <defn>
                  <para>
                    <paratext>
                      the services described [in 
                      <internal.reference refid="a173797">
                        <ital>Schedule 4</ital>
                      </internal.reference>
                      <defn.term> OR</defn.term>
                       on the Supplier's website located at [SUPPLIER'S WEBSITE ADDRESS]] as amended from time to time.
                    </paratext>
                  </para>
                </defn>
              </defn.item>
              <defn.item id="a914415">
                <defn.term>Term</defn.term>
                <defn>
                  <para>
                    <paratext>
                      the definition given in [
                      <internal.reference refid="a461055">
                        <ital>clause 12.1</ital>
                      </internal.reference>
                      <defn.term> OR </defn.term>
                      <internal.reference refid="a292785">
                        <ital>clause 12.2</ital>
                      </internal.reference>
                      ].
                    </paratext>
                  </para>
                </defn>
              </defn.item>
              <defn.item condition="optional" id="a303569">
                <defn.term>Third-Party Products</defn.term>
                <defn>
                  <para>
                    <paratext>
                      any third-party products described in 
                      <internal.reference refid="a262139">
                        <ital>Part 5</ital>
                      </internal.reference>
                      <defn.term> of </defn.term>
                      <internal.reference refid="a172476">
                        <ital>Schedule 1</ital>
                      </internal.reference>
                      <defn.term> </defn.term>
                      provided with or incorporated into the Services.
                    </paratext>
                  </para>
                </defn>
                <drafting.note id="a500044" jurisdiction="">
                  <head align="left" preservecase="true">
                    <headtext>Third-Party Products</headtext>
                  </head>
                  <division id="a000015" level="1">
                    <para>
                      <paratext>
                        The SaaS offering may incorporate certain third-party products in addition to materials created and owned by the supplier, as further detailed in optional 
                        <internal.reference refid="a433233">
                          <ital>clause 3.4</ital>
                        </internal.reference>
                        .
                      </paratext>
                    </para>
                  </division>
                </drafting.note>
              </defn.item>
            </subclause1>
            <subclause1 id="a310394">
              <identifier>1.2</identifier>
              <head align="left" preservecase="true">
                <headtext>Interpretation</headtext>
              </head>
              <para>
                <paratext>In this Agreement, the following rules of interpretation apply, unless the contrary intention appears or context otherwise requires:</paratext>
              </para>
              <subclause2 id="a318061">
                <identifier>(a)</identifier>
                <para>
                  <paratext>Headings and subheadings are for convenience only and do not affect the interpretation of this Agreement.</paratext>
                </para>
              </subclause2>
              <subclause2 id="a103313">
                <identifier>(b)</identifier>
                <para>
                  <paratext>References to clauses, Schedules, annexures, appendices, attachments and exhibits are references to the clauses of, and the Schedules, annexures, appendices, attachments and exhibits to, this Agreement.</paratext>
                </para>
              </subclause2>
              <subclause2 id="a684207">
                <identifier>(c)</identifier>
                <para>
                  <paratext>References to parties are references to the parties to this Agreement.</paratext>
                </para>
              </subclause2>
              <subclause2 id="a815080">
                <identifier>(d)</identifier>
                <para>
                  <paratext>References to a party to any agreement or document include that party's permitted assignees and successors, including executors and administrators and legal representatives.</paratext>
                </para>
              </subclause2>
              <subclause2 id="a212750">
                <identifier>(e)</identifier>
                <para>
                  <paratext>Words denoting the singular include the plural and words denoting the plural include the singular.</paratext>
                </para>
              </subclause2>
              <subclause2 id="a941201">
                <identifier>(f)</identifier>
                <para>
                  <paratext>Words denoting any gender include all genders.</paratext>
                </para>
              </subclause2>
              <subclause2 id="a545581">
                <identifier>(g)</identifier>
                <para>
                  <paratext>The word "person" includes any individual, corporation or other body corporate, partnership, joint venture, trust, association and any Government Agency.</paratext>
                </para>
              </subclause2>
              <subclause2 id="a616956">
                <identifier>(h)</identifier>
                <para>
                  <paratext>A reference to a body (other than a party to this Agreement), whether statutory or not, that ceases to exist or has its powers or functions transferred to another body is a reference to the body that replaces it or that substantially succeeds to its powers or functions.</paratext>
                </para>
              </subclause2>
              <subclause2 id="a774633">
                <identifier>(i)</identifier>
                <para>
                  <paratext>A reference to any agreement or document (including this Agreement) includes any amendments to or replacements of that document.</paratext>
                </para>
              </subclause2>
              <subclause2 id="a765999">
                <identifier>(j)</identifier>
                <para>
                  <paratext>A reference to a law includes:</paratext>
                </para>
                <subclause3 id="a997009">
                  <identifier>(i)</identifier>
                  <para>
                    <paratext>legislation, regulations and other instruments made under legislation and any consolidations, amendments, re-enactments or replacements of them;</paratext>
                  </para>
                </subclause3>
                <subclause3 id="a984784">
                  <identifier>(ii)</identifier>
                  <para>
                    <paratext>any constitutional provision, treaty or decree;</paratext>
                  </para>
                </subclause3>
                <subclause3 id="a744871">
                  <identifier>(iii)</identifier>
                  <para>
                    <paratext>any judgment;</paratext>
                  </para>
                </subclause3>
                <subclause3 id="a433384">
                  <identifier>(iv)</identifier>
                  <para>
                    <paratext>any rule or principle of common law or equity,</paratext>
                  </para>
                </subclause3>
                <para>
                  <paratext>and is a reference to that law as amended, consolidated, re-enacted, replaced or applied to new or different facts.</paratext>
                </para>
              </subclause2>
              <subclause2 id="a992742">
                <identifier>(k)</identifier>
                <para>
                  <paratext>
                    Any promise, agreement, representation or warranty given or entered into on the part of two or more persons binds [them jointly and each of them severally 
                    <bold>OR</bold>
                     them jointly but not severally 
                    <bold>OR</bold>
                     each of them severally].
                  </paratext>
                </para>
              </subclause2>
              <subclause2 id="a472800">
                <identifier>(l)</identifier>
                <para>
                  <paratext>
                    Any promise, agreement, representation or warranty given or entered into on the part of two or more persons is for the benefit of [them jointly and each of them severally 
                    <bold>OR</bold>
                     them jointly but not severally 
                    <bold>OR</bold>
                     each of them severally].
                  </paratext>
                </para>
              </subclause2>
              <subclause2 id="a604979">
                <identifier>(m)</identifier>
                <para>
                  <paratext>No provision of this Agreement will be construed adversely to a party because that party was responsible for the preparation of that provision or this Agreement.</paratext>
                </para>
              </subclause2>
              <subclause2 id="a577312">
                <identifier>(n)</identifier>
                <para>
                  <paratext>If a period of time begins on a given day or the day of an act or event, it is to be calculated exclusive of that day.</paratext>
                </para>
              </subclause2>
              <subclause2 id="a881753">
                <identifier>(o)</identifier>
                <para>
                  <paratext>A reference to time is a reference to [CITY] time unless otherwise specified.</paratext>
                </para>
              </subclause2>
              <subclause2 id="a803731">
                <identifier>(p)</identifier>
                <para>
                  <paratext>A reference to a day is to be interpreted as the period of time commencing at midnight and ending 24 hours later.</paratext>
                </para>
              </subclause2>
              <subclause2 id="a902404">
                <identifier>(q)</identifier>
                <para>
                  <paratext>If any act is required to be performed under this Agreement by a party on or by a specified day and the act is performed after 5.00 pm on that day, the act is deemed to be performed on the next day.</paratext>
                </para>
              </subclause2>
              <subclause2 id="a687291">
                <identifier>(r)</identifier>
                <para>
                  <paratext>If any act is required to be performed under this Agreement on or by a specified day and that day is not a Business Day, the act must be performed on or by the next Business Day.</paratext>
                </para>
              </subclause2>
              <subclause2 id="a648060">
                <identifier>(s)</identifier>
                <para>
                  <paratext>A reference to an amount of dollars, Australian dollars, $ or A$ is a reference to the lawful currency of the Commonwealth of Australia, unless the amount is specifically denominated in another currency.</paratext>
                </para>
              </subclause2>
              <subclause2 id="a934817">
                <identifier>(t)</identifier>
                <para>
                  <paratext>Specifying anything in this Agreement after the terms "include", "including", "includes", "for example", "such as" or any similar expression does not limit the sense of the words, description, definition, phrase or term preceding those terms unless there is express wording to the contrary.</paratext>
                </para>
              </subclause2>
              <subclause2 id="a593294">
                <identifier>(u)</identifier>
                <para>
                  <paratext>This Agreement includes all Schedules, annexures, appendices, attachments and exhibits to it.</paratext>
                </para>
              </subclause2>
              <subclause2 id="a841363">
                <identifier>(v)</identifier>
                <para>
                  <paratext>
                    A reference to "writing" or "written" excludes fax [and email 
                    <bold>OR</bold>
                     but not email].
                  </paratext>
                </para>
                <drafting.note id="a463911" jurisdiction="">
                  <head align="left" preservecase="true">
                    <headtext>Writing</headtext>
                  </head>
                  <division id="a000016" level="1">
                    <para>
                      <paratext>
                        If the Agreement does not state whether electronic communications such as email are to be treated as writing, confusion may result as to whether the use of those communications between the parties is in an acceptable form for the intended purpose. It is always preferable to include an express statement of the intended position, and to run a search for "writing" or "written" in the Agreement and consider what the repercussions would be in each case. For more information, see 
                        <link anchor="a136525" href="w-001-4691" style="ACTLinkPLCtoPLC">
                          <ital>Standard clause, Definitions and interpretation: Drafting note: Writing</ital>
                        </link>
                        .
                      </paratext>
                    </para>
                  </division>
                </drafting.note>
              </subclause2>
              <subclause2 id="a573053">
                <identifier>(w)</identifier>
                <para>
                  <paratext>References to a document in "agreed form" are to that document in the form agreed by the parties and initialled by them or on their behalf for identification.</paratext>
                </para>
              </subclause2>
              <subclause2 id="a249039">
                <identifier>(x)</identifier>
                <para>
                  <paratext>Where a word or phrase is defined, other parts of speech and grammatical forms of that word or phrase have corresponding meanings.</paratext>
                </para>
              </subclause2>
              <subclause2 id="a564367">
                <identifier>(y)</identifier>
                <para>
                  <paratext>An agreement other than this Agreement includes a deed, undertaking or legally enforceable agreement or understanding whether in writing or not.</paratext>
                </para>
              </subclause2>
              <subclause2 id="a615673">
                <identifier>(z)</identifier>
                <para>
                  <paratext>If there is any conflict between the terms of the main body of this Agreement and the terms of this Agreement's Schedules and attachments, the terms of the main body of this Agreement will prevail.</paratext>
                </para>
              </subclause2>
            </subclause1>
          </clause>
          <clause id="a632280">
            <identifier>2.</identifier>
            <head align="left" preservecase="true">
              <headtext>Access and use</headtext>
            </head>
            <subclause1 id="a540559">
              <identifier>2.1</identifier>
              <head align="left" preservecase="true">
                <headtext>Right to access</headtext>
              </head>
              <drafting.note id="a598028" jurisdiction="">
                <head align="left" preservecase="true">
                  <headtext>Right to access</headtext>
                </head>
                <division id="a000017" level="1">
                  <para>
                    <paratext>As is typical in SaaS agreements, the grant of the right to use the SaaS services is drafted as an authorisation or consent to remote access as opposed to a software license. This aims to avoid the implication that the provider is granting the customer an IP license. In a SaaS arrangement, a user does not need a license because it is not downloading and running separate copies of the software on its own systems.</paratext>
                  </para>
                  <para>
                    <paratext>
                      The supplier should ensure the scope of the access grant (for example, the number of authorised users or limiting use to specific locations) is reflected in the amount of the corresponding fees. The supplier can also place a volume restriction on the access grant by using the optional language in 
                      <internal.reference refid="a540559">
                        <ital>clause 2.1</ital>
                      </internal.reference>
                       to limit the number of authorised users. The scope of the authorisation is generally defined by:
                    </paratext>
                  </para>
                  <list type="bulleted">
                    <list.item>
                      <para>
                        <paratext>The scope of the customer's right to use the services (for example, the number of users or computers that may access the service).</paratext>
                      </para>
                    </list.item>
                    <list.item>
                      <para>
                        <paratext>The identity or profile of the authorised users (for example, administrators versus regular users).</paratext>
                      </para>
                    </list.item>
                    <list.item>
                      <para>
                        <paratext>Whether the customer's authorisation is exclusive or non-exclusive.</paratext>
                      </para>
                    </list.item>
                    <list.item>
                      <para>
                        <paratext>The authorised territory, if any.</paratext>
                      </para>
                    </list.item>
                    <list.item>
                      <para>
                        <paratext>The term (duration) of authorised use.</paratext>
                      </para>
                    </list.item>
                  </list>
                </division>
              </drafting.note>
              <para>
                <paratext>
                  Subject to the terms and conditions of this Agreement, the Supplier grants the Customer a non-exclusive, non-transferable (except in compliance with 
                  <internal.reference refid="a902042">
                    <ital>clause 15.3</ital>
                  </internal.reference>
                  ) right for its Authorised Users to access and use the Services during the Term, solely for the Customer's internal use [in accordance with the Documentation]. [The maximum number of Authorised Users is set out in 
                  <internal.reference refid="a226034">
                    <ital>Part 3</ital>
                  </internal.reference>
                   of 
                  <internal.reference refid="a172476">
                    <ital>Schedule 1</ital>
                  </internal.reference>
                  , except as expressly agreed to in writing by the parties and subject to any appropriate adjustment of the Fees payable.]
                </paratext>
              </para>
            </subclause1>
            <subclause1 id="a591954">
              <identifier>2.2</identifier>
              <head align="left" preservecase="true">
                <headtext>Provision of access</headtext>
              </head>
              <para>
                <paratext>The Supplier will provide to the Customer the necessary passwords and network links or connections to allow the Customer to access the Services.</paratext>
              </para>
            </subclause1>
            <subclause1 id="a766453">
              <identifier>2.3</identifier>
              <head align="left" preservecase="true">
                <headtext>Licence grant</headtext>
              </head>
              <para>
                <paratext>
                  Subject to the terms and conditions contained in this Agreement, the Supplier grants to the Customer a non-exclusive, non-sublicensable, non-transferable (except in compliance with 
                  <internal.reference refid="a902042">
                    <ital>clause 15.3</ital>
                  </internal.reference>
                  ) licence to use the Documentation during the Term solely for the Customer's internal purposes in connection with its use of the Services.
                </paratext>
              </para>
            </subclause1>
            <subclause1 id="a246287">
              <identifier>2.4</identifier>
              <head align="left" preservecase="true">
                <headtext>Use restrictions</headtext>
              </head>
              <drafting.note id="a859238" jurisdiction="">
                <head align="left" preservecase="true">
                  <headtext>Use restrictions</headtext>
                </head>
                <division id="a000018" level="1">
                  <para>
                    <paratext>
                      This 
                      <internal.reference refid="a246287">
                        <ital>clause 2.4</ital>
                      </internal.reference>
                       includes common restrictions on the customer's use to protect the provider's intellectual property rights in the services and documentation and limit the provider's potential liability to third parties.
                    </paratext>
                  </para>
                  <para>
                    <paratext>
                      Alternatively, draft the agreement to require the customer to comply with an 
                      <bold>acceptable use policy</bold>
                       that includes these restrictions, and any additional relevant policies (see 
                      <link anchor="a196863" href="w-004-8315" style="ACTLinkPLCtoPLC">
                        <ital>Practice note, Cloud computing agreements: Online terms, acceptable use policies and end user licence agreements</ital>
                      </link>
                      ). For a model acceptable use policy that applies to use of AI technology, including GenAI and agentic AI, to a business customer for their internal business purposes, see 
                      <link href="w-049-8318" style="ACTLinkPLCtoPLC">
                        <ital>Standard document, AI Acceptable Use Policy</ital>
                      </link>
                      .
                    </paratext>
                  </para>
                </division>
              </drafting.note>
              <para>
                <paratext>The Customer warrants and represents that, in accessing or using the Services, it will not, and will not permit Authorised Users to:</paratext>
              </para>
              <subclause2 id="a255918">
                <identifier>(a)</identifier>
                <para>
                  <paratext>copy, modify or create derivative works of the Services or Documentation, in whole or in part;</paratext>
                </para>
              </subclause2>
              <subclause2 id="a784865">
                <identifier>(b)</identifier>
                <para>
                  <paratext>rent, lease, lend, sell, license, sublicense, assign, distribute, publish, transfer or otherwise make available the Services or Documentation;</paratext>
                </para>
              </subclause2>
              <subclause2 id="a148219">
                <identifier>(c)</identifier>
                <para>
                  <paratext>reverse engineer, disassemble, decompile, decode, adapt or otherwise attempt to derive or gain access to any software component of the Services, in whole or in part;</paratext>
                </para>
              </subclause2>
              <subclause2 id="a613207">
                <identifier>(d)</identifier>
                <para>
                  <paratext>remove any proprietary notices from the Services or Documentation; or</paratext>
                </para>
              </subclause2>
              <subclause2 id="a727453">
                <identifier>(e)</identifier>
                <para>
                  <paratext>use the Services or Documentation in any manner or for any purpose that infringes, or involves an unauthorised use or disclosure of Intellectual Property Rights or other rights of any person, or that violates any applicable law.</paratext>
                </para>
              </subclause2>
            </subclause1>
            <subclause1 id="a189518">
              <identifier>2.5</identifier>
              <head align="left" preservecase="true">
                <headtext>Reservation of rights</headtext>
              </head>
              <para>
                <paratext>The Supplier reserves all rights not expressly granted to the Customer in this Agreement. Except for the limited rights and licenses expressly granted under this Agreement, nothing in this Agreement grants, by implication, waiver, estoppel or otherwise, to the Customer or any third party any Intellectual Property Rights or other right, title or interest in or to the Supplier IP.</paratext>
              </para>
            </subclause1>
            <subclause1 id="a967536">
              <identifier>2.6</identifier>
              <head align="left" preservecase="true">
                <headtext>Suspension of access</headtext>
              </head>
              <drafting.note id="a220283" jurisdiction="">
                <head align="left" preservecase="true">
                  <headtext>Suspension of access</headtext>
                </head>
                <division id="a000019" level="1">
                  <para>
                    <paratext>SaaS suppliers commonly reserve the right to suspend the customer's access to the services for specified reasons, for instance, if the customer is using the services unlawfully or in breach of the agreement.</paratext>
                  </para>
                  <para>
                    <paratext>
                      This document is drafted for use between two businesses and is not suitable for use in business to consumer transactions (see 
                      <internal.reference refid="a717220">
                        <ital>Drafting note, Drafting assumptions</ital>
                      </internal.reference>
                      ). Further considerations would also apply if the agreement is a 
                      <link href="w-003-9195" style="ACTLinkPLCtoPLC">
                        <bold>
                          <ital>small business contract</ital>
                        </bold>
                      </link>
                       taking the form of a 
                      <link href="w-003-9194" style="ACTLinkPLCtoPLC">
                        <bold>
                          <ital>standard form contract</ital>
                        </bold>
                      </link>
                      . Care should be taken where the 
                      <link href="w-003-9194" style="ACTLinkPLCtoPLC">
                        <bold>
                          <ital>unfair contract terms</ital>
                        </bold>
                      </link>
                       regime applies to this document as the right to suspend the services is unilateral and so may be an unfair term. For further information and indicators of unfair terms, see 
                      <link anchor="a991243" href="w-038-1906" style="ACTLinkPLCtoPLC">
                        <ital>Checklist, Application of the unfair contract terms regime and assessing whether a term is unfair: Indicators of unfair contract terms</ital>
                      </link>
                      .
                    </paratext>
                  </para>
                </division>
              </drafting.note>
              <para>
                <paratext>Notwithstanding anything to the contrary in this Agreement, the Supplier may temporarily suspend the Customer's or one or more Authorised User's access to any portion or all of the Services if:</paratext>
              </para>
              <subclause2 id="a258409">
                <identifier>(a)</identifier>
                <para>
                  <paratext>the Supplier reasonably determines that:</paratext>
                </para>
                <subclause3 id="a536300">
                  <identifier>(i)</identifier>
                  <para>
                    <paratext>there is a threat or attack on any of the Supplier IP;</paratext>
                  </para>
                </subclause3>
                <subclause3 id="a948708">
                  <identifier>(ii)</identifier>
                  <para>
                    <paratext>the Customer's or any Authorised User's use of the Supplier IP disrupts or poses a security risk to the Supplier IP or to any other customer or vendor of the Supplier;</paratext>
                  </para>
                </subclause3>
                <subclause3 id="a457073">
                  <identifier>(iii)</identifier>
                  <para>
                    <paratext>the Customer, or any Authorised User, is using the Supplier IP for fraudulent or illegal activities; or</paratext>
                  </para>
                </subclause3>
                <subclause3 id="a189025">
                  <identifier>(iv)</identifier>
                  <para>
                    <paratext>the Supplier's provision of the Services to the Customer or any Authorised User is prohibited by applicable law;</paratext>
                  </para>
                </subclause3>
              </subclause2>
              <subclause2 id="a663052">
                <identifier>(b)</identifier>
                <para>
                  <paratext>any vendor of the Supplier has suspended or terminated the Supplier's access to or use of any third-party services or products required to enable the Customer to access the Services; or</paratext>
                </para>
              </subclause2>
              <subclause2 id="a336663">
                <identifier>(c)</identifier>
                <para>
                  <paratext>
                    in accordance with 
                    <internal.reference refid="a732504">
                      <ital>clause 5.2</ital>
                    </internal.reference>
                    .
                  </paratext>
                </para>
              </subclause2>
            </subclause1>
            <subclause1 id="a343631">
              <identifier>2.7</identifier>
              <head align="left" preservecase="true">
                <headtext>Obligations of Supplier: Service Suspension</headtext>
              </head>
              <drafting.note id="a470626" jurisdiction="">
                <head align="left" preservecase="true">
                  <headtext>Obligations of Supplier: Service Suspension</headtext>
                </head>
                <division id="a000020" level="1">
                  <para>
                    <paratext>
                      The meaning of reasonable endeavours and other common forms of endeavours clauses is reviewed in 
                      <link href="w-003-9174" style="ACTLinkPLCtoPLC">
                        <ital>Practice note, Reasonable and best endeavours</ital>
                      </link>
                      .
                    </paratext>
                  </para>
                </division>
              </drafting.note>
              <para>
                <paratext>The Supplier will use reasonable endeavours to:</paratext>
              </para>
              <subclause2 id="a614099">
                <identifier>(a)</identifier>
                <para>
                  <paratext>provide Notice of any Service Suspension to the Customer and to provide updates regarding resumption of access to the Services following any Service Suspension; and</paratext>
                </para>
              </subclause2>
              <subclause2 id="a729765">
                <identifier>(b)</identifier>
                <para>
                  <paratext>resume providing access to the Services as soon as reasonably possible after the event giving rise to the Service Suspension is cured.</paratext>
                </para>
              </subclause2>
            </subclause1>
            <subclause1 id="a769492">
              <identifier>2.8</identifier>
              <head align="left" preservecase="true">
                <headtext>[Collection and use of Aggregated Statistics</headtext>
              </head>
              <drafting.note id="a252621" jurisdiction="">
                <head align="left" preservecase="true">
                  <headtext>Collection and use of Aggregated Statistics (optional)</headtext>
                </head>
                <division id="a000021" level="1">
                  <para>
                    <paratext>Many SaaS suppliers compile, collect and use aggregated statistical data derived from a customer's use of the services to improve the provider's SaaS offering or for other technical or commercial reasons. This provision gives the supplier ownership of the aggregated statistics, which gives the supplier the most flexibility in how to use the data in the future. Many customers are willing to agree to this, especially if the agreement requires the aggregated statistics to be compiled in an anonymous manner that does not identify the customer.</paratext>
                  </para>
                  <para>
                    <paratext>
                      If the supplier collects and compiles aggregated statistics, include this optional 
                      <internal.reference refid="a769492">
                        <ital>clause 2.8</ital>
                      </internal.reference>
                       and:
                    </paratext>
                  </para>
                  <list type="bulleted">
                    <list.item>
                      <para>
                        <paratext>
                          The optional defined term Aggregated Statistics in 
                          <internal.reference refid="a250957">
                            <ital>clause 1.1</ital>
                          </internal.reference>
                          .
                        </paratext>
                      </para>
                    </list.item>
                    <list.item>
                      <para>
                        <paratext>
                          The optional language that excludes Aggregated Statistics from Customer Data in 
                          <internal.reference refid="a250957">
                            <ital>clause 1.1</ital>
                          </internal.reference>
                          .
                        </paratext>
                      </para>
                    </list.item>
                    <list.item>
                      <para>
                        <paratext>
                          The optional language that includes Aggregated Statistics in the defined term Supplier IP in 
                          <internal.reference refid="a250957">
                            <ital>clause 1.1</ital>
                          </internal.reference>
                          .
                        </paratext>
                      </para>
                    </list.item>
                    <list.item>
                      <para>
                        <paratext>
                          The optional language in 
                          <internal.reference refid="a968401">
                            <ital>clause 8.3</ital>
                          </internal.reference>
                           granting the supplier a licence to use the Customer Data as a part of the Aggregated Statistics.
                        </paratext>
                      </para>
                    </list.item>
                  </list>
                  <para>
                    <paratext>
                      The supplier should carefully review the defined term Aggregated Statistics in 
                      <internal.reference refid="a250957">
                        <ital>clause 1.1</ital>
                      </internal.reference>
                       and the purpose of the collection (for monetary gain or solely for the provider's internal use to improve its SaaS offering) to ensure that the obligations, restrictions and scope of this provision accurately reflect the supplier's intended use.
                    </paratext>
                  </para>
                </division>
              </drafting.note>
              <para>
                <paratext>Notwithstanding anything to the contrary in this Agreement, the Customer acknowledges and agrees that the Supplier:</paratext>
              </para>
              <subclause2 id="a948429">
                <identifier>(a)</identifier>
                <para>
                  <paratext>may monitor the Customer's use of the Services and collect and compile Aggregated Statistics based on Customer Data input into the Services;</paratext>
                </para>
              </subclause2>
              <subclause2 id="a973348">
                <identifier>(b)</identifier>
                <para>
                  <paratext>retains all right, title, interest and Intellectual Property Rights in the Aggregated Statistics; and</paratext>
                </para>
              </subclause2>
              <subclause2 id="a366765">
                <identifier>(c)</identifier>
                <para>
                  <paratext>may make Aggregated Statistics publicly available in compliance with applicable law and use Aggregated Statistics to the extent and in the manner permitted under applicable law[, provided that such Aggregated Statistics do not identify the Customer or the Customer's Confidential Information].]</paratext>
                </para>
              </subclause2>
            </subclause1>
          </clause>
          <clause id="a269510">
            <identifier>3.</identifier>
            <head align="left" preservecase="true">
              <headtext>Customer responsibilities</headtext>
            </head>
            <subclause1 id="a724156">
              <identifier>3.1</identifier>
              <head align="left" preservecase="true">
                <headtext>Customer responsible for use of Services and Documentation</headtext>
              </head>
              <para>
                <paratext>The Customer is responsible and liable for all uses of the Services and Documentation resulting from access provided by the Customer, directly or indirectly, whether such access or use is permitted by or in violation of this Agreement.</paratext>
              </para>
            </subclause1>
            <subclause1 id="a563524">
              <identifier>3.2</identifier>
              <head align="left" preservecase="true">
                <headtext>Customer responsible for Authorised Users</headtext>
              </head>
              <para>
                <paratext>
                  Without limiting the generality of 
                  <internal.reference refid="a724156">
                    <ital>clause 3.1</ital>
                  </internal.reference>
                  , the Customer is responsible for all acts and omissions of Authorised Users, and any act or omission by an Authorised User that would constitute a breach of this Agreement will be deemed a breach of this Agreement by the Customer.
                </paratext>
              </para>
            </subclause1>
            <subclause1 id="a370898">
              <identifier>3.3</identifier>
              <head align="left" preservecase="true">
                <headtext>Customer to notify Authorised Users</headtext>
              </head>
              <para>
                <paratext>The Customer must use reasonable endeavours to make all Authorised Users aware of this Agreement's provisions as applicable to such Authorised User's use of the Services, and must cause Authorised Users to comply with such provisions.</paratext>
              </para>
            </subclause1>
            <subclause1 id="a433233">
              <identifier>3.4</identifier>
              <head align="left" preservecase="true">
                <headtext>[Third-Party Products</headtext>
              </head>
              <drafting.note id="a508156" jurisdiction="">
                <head align="left" preservecase="true">
                  <headtext>Third-Party Products (optional)</headtext>
                </head>
                <division id="a000022" level="1">
                  <para>
                    <paratext>
                      The supplier should include this optional 
                      <internal.reference refid="a433233">
                        <ital>clause 3.4</ital>
                      </internal.reference>
                       if the SaaS offering incorporates third-party products, such as software or components owned by third parties, or contains features designed to interoperate with third-party SaaS offerings. If the SaaS offering contains any third-party products, the supplier should either:
                    </paratext>
                  </para>
                  <list type="bulleted">
                    <list.item>
                      <para>
                        <paratext>
                          Include or provide a website link to the applicable terms and conditions in optional 
                          <internal.reference refid="a262139">
                            <ital>Part 5</ital>
                          </internal.reference>
                           of 
                          <internal.reference refid="a172476">
                            <ital>Schedule 1</ital>
                          </internal.reference>
                          .
                        </paratext>
                      </para>
                    </list.item>
                    <list.item>
                      <para>
                        <paratext>
                          Include the corresponding optional language in 
                          <internal.reference refid="a670940">
                            <ital>clause 9</ital>
                          </internal.reference>
                           and 
                          <internal.reference refid="a603174">
                            <ital>clause 10</ital>
                          </internal.reference>
                           to exclude warranties and intellectual property rights indemnity for third-party products.
                        </paratext>
                      </para>
                    </list.item>
                  </list>
                </division>
              </drafting.note>
              <para>
                <paratext>The Supplier may make Third-Party Products available to the Customer from time to time and such Third-Party Products are subject to their own terms and conditions. The Supplier does not control and has no liability for Third-Party Products.]</paratext>
              </para>
            </subclause1>
          </clause>
          <clause id="a729244">
            <identifier>4.</identifier>
            <head align="left" preservecase="true">
              <headtext>[Service Levels [and Support Services]</headtext>
            </head>
            <drafting.note id="a311265" jurisdiction="">
              <head align="left" preservecase="true">
                <headtext>Service Levels and Support Services (optional)</headtext>
              </head>
              <division id="a000023" level="1">
                <para>
                  <paratext>Both service levels and support services ensure that the customer can rely on the availability of the SaaS offering. Setting out attainable performance criteria and limited remedies can also minimise later disputes and potential additional liability for a supplier. The availability of service levels and support typically vary based on the supplier and the type of SaaS offering.</paratext>
                </para>
                <para>
                  <paratext>
                    <bold>Service levels</bold>
                     provide:
                  </paratext>
                </para>
                <list type="bulleted">
                  <list.item>
                    <para>
                      <paratext>Appropriate remedies to the customer for service failures.</paratext>
                    </para>
                  </list.item>
                  <list.item>
                    <para>
                      <paratext>Incentives to the supplier to timely remedy service errors.</paratext>
                    </para>
                  </list.item>
                </list>
                <para>
                  <paratext>Service levels often include committed uptime, response times, updates and corrections, and, to ensure better enforceability, are often accompanied with remedies for service level failures in the form of credits toward either:</paratext>
                </para>
                <list type="bulleted">
                  <list.item>
                    <para>
                      <paratext>
                        Future use of the SaaS services (
                        <link href="http://www.practicallaw.com/w-011-6509" style="ACTLinkURL">
                          <bold>
                            <ital>service credits</ital>
                          </bold>
                        </link>
                        ), which may extend the term of the agreement.
                      </paratext>
                    </para>
                  </list.item>
                  <list.item>
                    <para>
                      <paratext>Fees payable.</paratext>
                    </para>
                  </list.item>
                </list>
                <para>
                  <paratext>
                    These credits are generally determined by the percentage of total or total unauthorised service downtime incurred in a specified billing period. For more information on SaaS service levels, see 
                    <link anchor="a311168" href="w-004-8315" style="ACTLinkPLCtoPLC">
                      <ital>Practice note, Cloud computing agreements: Services and service levels</ital>
                    </link>
                     and 
                    <link anchor="a493917" href="w-004-8315" style="ACTLinkPLCtoPLC">
                      <ital>Service credits</ital>
                    </link>
                    .
                  </paratext>
                </para>
                <para>
                  <paratext>
                    <bold>Support</bold>
                     typically includes identification, diagnosis and correction of errors by help desk technicians and may include telephone support or online access to technical support. For an example 
                    <link href="w-011-6510" style="ACTLinkPLCtoPLC">
                      <bold>
                        <ital>service level agreement</ital>
                      </bold>
                    </link>
                     for support services, see 
                    <link href="w-004-8756" style="ACTLinkPLCtoPLC">
                      <ital>Standard document, Service level agreement</ital>
                    </link>
                    .
                  </paratext>
                </para>
                <para>
                  <paratext>
                    In optional 
                    <internal.reference refid="a879235">
                      <ital>clause 4.1</ital>
                    </internal.reference>
                     and 
                    <internal.reference refid="a696637">
                      <ital>clause 4.2</ital>
                    </internal.reference>
                    , the detail of the service level commitments and support services is defined by reference to either a schedule to the agreement or a link to the applicable website address that sets out the description of the support services.
                  </paratext>
                </para>
              </division>
            </drafting.note>
            <subclause1 id="a879235">
              <identifier>4.1</identifier>
              <head align="left" preservecase="true">
                <headtext>[Service Levels</headtext>
              </head>
              <para>
                <paratext>
                  The access rights granted under 
                  <internal.reference refid="a540559">
                    <ital>clause 2.1</ital>
                  </internal.reference>
                   entitle the Customer to the Service Levels for the Term.]
                </paratext>
              </para>
            </subclause1>
            <subclause1 id="a696637">
              <identifier>4.2</identifier>
              <head align="left" preservecase="true">
                <headtext>[Support Services</headtext>
              </head>
              <drafting.note id="a825174" jurisdiction="">
                <head align="left" preservecase="true">
                  <headtext>Support Services (optional)</headtext>
                </head>
                <division id="a000024" level="1">
                  <para>
                    <paratext>
                      The SaaS supplier may omit this optional 
                      <internal.reference refid="a696637">
                        <ital>clause 4.2</ital>
                      </internal.reference>
                       for specific service support obligations in its standard agreement. However, the customer is likely to insist on specific support service levels, particularly if the SaaS supplier charges substantial fees for its services or their consistent performance is important to the customer. SaaS suppliers frequently offer a choice of support service packages providing for escalating levels of service support at tiered rates.
                    </paratext>
                  </para>
                  <para>
                    <paratext>
                      For an example service level agreement for support services, see 
                      <link href="w-004-8756" style="ACTLinkPLCtoPLC">
                        <ital>Standard document, Service level agreement</ital>
                      </link>
                      .
                    </paratext>
                  </para>
                </division>
              </drafting.note>
              <para>
                <paratext>
                  This Agreement does not entitle the Customer to any support for the Services 
                  <bold>OR </bold>
                  The access rights granted under 
                  <internal.reference refid="a540559">
                    <ital>clause 2.1</ital>
                  </internal.reference>
                   entitle the Customer to the Support Services for [one year 
                  <bold>OR</bold>
                   [OTHER SUPPORT PERIOD]] following the Commencement Date under this Agreement and thereafter, solely if the Customer purchases additional support services.]]
                </paratext>
              </para>
            </subclause1>
          </clause>
          <clause id="a225421">
            <identifier>5.</identifier>
            <head align="left" preservecase="true">
              <headtext>Fees and payment</headtext>
            </head>
            <drafting.note id="a128143" jurisdiction="">
              <head align="left" preservecase="true">
                <headtext>Fees and payment</headtext>
              </head>
              <division id="a000025" level="1">
                <para>
                  <paratext>In a SaaS agreement, fees typically are based on a subscription model. However, fees can be based on use or other variables, including:</paratext>
                </para>
                <list type="bulleted">
                  <list.item>
                    <para>
                      <paratext>Number of authorised users.</paratext>
                    </para>
                  </list.item>
                  <list.item>
                    <para>
                      <paratext>Amount of time the service is in use.</paratext>
                    </para>
                  </list.item>
                  <list.item>
                    <para>
                      <paratext>Amount of network bandwidth consumed.</paratext>
                    </para>
                  </list.item>
                  <list.item>
                    <para>
                      <paratext>Data storage size and period.</paratext>
                    </para>
                  </list.item>
                  <list.item>
                    <para>
                      <paratext>Number of transactions, requests, records processed or other specified activity.</paratext>
                    </para>
                  </list.item>
                </list>
                <para>
                  <paratext>
                    This document assumes that fees, any applicable billing rates and other fee criteria are to be set out in 
                    <internal.reference refid="a314103">
                      <ital>Part 2</ital>
                    </internal.reference>
                     of 
                    <internal.reference refid="a172476">
                      <ital>Schedule 1</ital>
                    </internal.reference>
                     and tied to a specific term. 
                    <internal.reference refid="a314103">
                      <ital>Part 2</ital>
                    </internal.reference>
                     of 
                    <internal.reference refid="a172476">
                      <ital>Schedule 1</ital>
                    </internal.reference>
                     should clearly set out when fees are due, for example:
                  </paratext>
                </para>
                <list type="bulleted">
                  <list.item>
                    <para>
                      <paratext>At the beginning of a subscription period running for a specific length of time.</paratext>
                    </para>
                  </list.item>
                  <list.item>
                    <para>
                      <paratext>Monthly, quarterly or at other regular intervals.</paratext>
                    </para>
                  </list.item>
                  <list.item>
                    <para>
                      <paratext>On specific dates throughout the contract term that do not fall at regular periodic intervals.</paratext>
                    </para>
                  </list.item>
                </list>
                <para>
                  <paratext>
                    <internal.reference refid="a314103">
                      <ital>Part 2</ital>
                    </internal.reference>
                     of 
                    <internal.reference refid="a172476">
                      <ital>Schedule 1</ital>
                    </internal.reference>
                     should also set out the payment method and any invoicing requirements.
                  </paratext>
                </para>
                <para>
                  <paratext>
                    <internal.reference refid="a732504">
                      <ital>Clause 5.2</ital>
                    </internal.reference>
                     sets out that the supplier can suspend access to the services for late payment. Giving the supplier the right to suspend use of the software may induce the customer to pay. 
                    <internal.reference refid="a338885">
                      <ital>clause 15.5</ital>
                    </internal.reference>
                     sets out the amount of interest payable on due but unpaid amounts.
                  </paratext>
                </para>
                <para>
                  <paratext>
                    For more information, see 
                    <link anchor="a260980" href="w-004-0353" style="ACTLinkPLCtoPLC">
                      <ital>Practice note, Cloud computing overview: Commercial context, issues and business models</ital>
                    </link>
                     and 
                    <link anchor="a566427" href="http://www.practicallaw.com/w-009-1089" style="ACTLinkURL">
                      <ital>Checklist, Reviewing or drafting a cloud-based software agreement: Fees and payment.</ital>
                    </link>
                  </paratext>
                </para>
              </division>
            </drafting.note>
            <subclause1 id="a737442">
              <identifier>5.1</identifier>
              <head align="left" preservecase="true">
                <headtext>Fees</headtext>
              </head>
              <para>
                <paratext>The Customer must pay the Supplier the Fees as set forth in Part 2 of Schedule 1 without offset or deduction.</paratext>
              </para>
            </subclause1>
            <subclause1 id="a732504">
              <identifier>5.2</identifier>
              <head align="left" preservecase="true">
                <headtext>Suspension for failure to make payment</headtext>
              </head>
              <para>
                <paratext>If the Customer fails to make any payment when due, and such failure continues for [NUMBER] days or more, without limiting the Supplier's other rights and remedies, the Supplier may suspend the Customer's and its Authorised Users' access to any portion or all of the Services until such amounts are paid in full.</paratext>
              </para>
            </subclause1>
          </clause>
          <clause id="a718976">
            <identifier>6.</identifier>
            <head align="left" preservecase="true">
              <headtext>Goods and services tax</headtext>
            </head>
            <drafting.note id="a917317" jurisdiction="">
              <head align="left" preservecase="true">
                <headtext>Goods and services tax</headtext>
              </head>
              <division id="a000026" level="1">
                <para>
                  <paratext>
                    A 
                    <link href="w-004-1325" style="ACTLinkPLCtoPLC">
                      <ital>goods and services tax (GST)</ital>
                    </link>
                     clause is included in most commercial agreements that may involve a taxable supply of goods or services in Australia. It will set out how any applicable GST is to be paid under the agreement.
                  </paratext>
                </para>
                <para>
                  <paratext>
                    For more information about GST, see the drafting notes in 
                    <link href="w-005-3892" style="ACTLinkPLCtoPLC">
                      <ital>Standard clause, Goods and Services Tax (GST)</ital>
                    </link>
                     and 
                    <link href="w-008-6558" style="ACTLinkPLCtoPLC">
                      <ital>Practice note, Goods and Services Tax (GST)</ital>
                    </link>
                    .
                  </paratext>
                </para>
              </division>
            </drafting.note>
            <subclause1 id="a649484">
              <identifier>6.1</identifier>
              <head align="left" preservecase="true">
                <headtext>Definitions</headtext>
              </head>
              <para>
                <paratext>
                  Words used in this 
                  <internal.reference refid="a718976">
                    <ital>clause 6</ital>
                  </internal.reference>
                   that have a defined meaning in the GST Law have the same meaning as in the GST Law unless the context indicates otherwise.
                </paratext>
              </para>
            </subclause1>
            <subclause1 id="a171752">
              <identifier>6.2</identifier>
              <head align="left" preservecase="true">
                <headtext>GST</headtext>
              </head>
              <subclause2 id="a649870">
                <identifier>(a)</identifier>
                <para>
                  <paratext>Unless expressly stated otherwise, the consideration for any supply under or in connection with this Agreement is exclusive of GST.</paratext>
                </para>
              </subclause2>
              <subclause2 id="a786236">
                <identifier>(b)</identifier>
                <para>
                  <paratext>
                    To the extent that any supply made under or in connection with this Agreement is a taxable supply (other than any supply made under another agreement that contains a specific provision dealing with GST), the amount payable by the Customer is the consideration provided under this Agreement for that supply (unless it expressly includes GST) plus an amount (
                    <bold>Additional Amount</bold>
                    ) equal to the amount of that consideration (or its GST exclusive market value) multiplied by the rate at which GST is imposed in respect of the supply.
                  </paratext>
                </para>
              </subclause2>
              <subclause2 id="a645087">
                <identifier>(c)</identifier>
                <para>
                  <paratext>The Customer must pay the Additional Amount at the same time as the consideration to which it is referable, and on the issue of an invoice relating to the supply.</paratext>
                </para>
              </subclause2>
              <subclause2 id="a382107">
                <identifier>(d)</identifier>
                <para>
                  <paratext>
                    Whenever an adjustment event occurs in relation to any taxable supply to which 
                    <internal.reference refid="a786236">
                      <ital>clause 6.2(b)</ital>
                    </internal.reference>
                     applies:
                  </paratext>
                </para>
                <subclause3 id="a340972">
                  <identifier>(i)</identifier>
                  <para>
                    <paratext>the Supplier must determine the amount of the GST component of the consideration payable; and</paratext>
                  </para>
                </subclause3>
                <subclause3 id="a190111">
                  <identifier>(ii)</identifier>
                  <para>
                    <paratext>if the GST component of that consideration differs from the amount previously paid, the amount of the difference must be paid by, refunded to or credited to the recipient, as applicable.</paratext>
                  </para>
                </subclause3>
              </subclause2>
            </subclause1>
            <subclause1 id="a989330">
              <identifier>6.3</identifier>
              <head align="left" preservecase="true">
                <headtext>Reimbursements</headtext>
              </head>
              <para>
                <paratext>If either party is entitled under this Agreement to be reimbursed or indemnified by the other party for a cost or expense incurred in connection with this Agreement, the reimbursement or indemnity payment must not include any GST component of the cost or expense to the extent that the cost or expense is the consideration for a creditable acquisition made by the party being reimbursed or indemnified, or by its representative member.</paratext>
              </para>
            </subclause1>
          </clause>
          <clause id="a469238">
            <identifier>7.</identifier>
            <head align="left" preservecase="true">
              <headtext>Confidential Information</headtext>
            </head>
            <drafting.note id="a804908" jurisdiction="">
              <head align="left" preservecase="true">
                <headtext>Confidential Information</headtext>
              </head>
              <division id="a000027" level="1">
                <para>
                  <paratext>
                    This is a typical short-form confidentiality provision that applies mutually to the parties. For further detailed guidance, see 
                    <link href="w-001-4501" style="ACTLinkPLCtoPLC">
                      <ital>Practice note, Confidentiality agreements</ital>
                    </link>
                     and 
                    <link href="w-005-5473" style="ACTLinkPLCtoPLC">
                      <ital>Standard clause, Confidentiality</ital>
                    </link>
                    .
                  </paratext>
                </para>
              </division>
            </drafting.note>
            <subclause1 id="a831201">
              <identifier>7.1</identifier>
              <head align="left" preservecase="true">
                <headtext>Confidentiality obligations</headtext>
              </head>
              <para>
                <paratext>
                  Each party (in this 
                  <internal.reference refid="a469238">
                    <ital>clause 7</ital>
                  </internal.reference>
                   a 
                  <bold>Recipient</bold>
                  ) must keep secret and confidential and not disclose any Confidential Information that is disclosed to the Recipient by the other party, its representatives or advisers except:
                </paratext>
              </para>
              <subclause2 id="a991097">
                <identifier>(a)</identifier>
                <para>
                  <paratext>where the information is in the public domain as at the date of this Agreement (or subsequently becomes in the public domain other than by breach of any obligation of confidentiality binding on the Recipient);</paratext>
                </para>
              </subclause2>
              <subclause2 id="a535805">
                <identifier>(b)</identifier>
                <para>
                  <paratext>if the Recipient is required to disclose the information by applicable law or the rules of any recognised securities exchange, provided that the Recipient has[, to the extent practicable having regard to those obligations and the required timing of the disclosure,] consulted with the other party as to the form and content of the disclosure;</paratext>
                </para>
              </subclause2>
              <subclause2 id="a847277">
                <identifier>(c)</identifier>
                <para>
                  <paratext>where the disclosure is expressly permitted under this Agreement;</paratext>
                </para>
              </subclause2>
              <subclause2 id="a511826">
                <identifier>(d)</identifier>
                <para>
                  <paratext>if disclosure is made to its officers, employees and professional advisers to the extent necessary to enable the Recipient to properly perform its obligations under this Agreement [or to conduct their business generally], in which case, the Recipient must ensure that such persons keep the information secret and confidential and do not disclose the information to any other person; or</paratext>
                </para>
              </subclause2>
              <subclause2 id="a182134">
                <identifier>(e)</identifier>
                <para>
                  <paratext>if the party to whom the information relates has consented in writing before the disclosure.</paratext>
                </para>
              </subclause2>
            </subclause1>
            <subclause1 id="a600841">
              <identifier>7.2</identifier>
              <head align="left" preservecase="true">
                <headtext>Use only in accordance with agreement</headtext>
              </head>
              <para>
                <paratext>The Recipient must not use the other party's Confidential Information except for the purpose of exercising or performing its rights and obligations under or in connection with this Agreement.</paratext>
              </para>
            </subclause1>
            <subclause1 id="a775077">
              <identifier>7.3</identifier>
              <head align="left" preservecase="true">
                <headtext>Ensuring compliance</headtext>
              </head>
              <para>
                <paratext>
                  Each Recipient must ensure that its directors, officers, employees, agents, representatives and Related Bodies Corporate comply in all respects with the Recipient's obligations under this 
                  <internal.reference refid="a469238">
                    <ital>clause 7</ital>
                  </internal.reference>
                  .
                </paratext>
              </para>
            </subclause1>
          </clause>
          <clause id="a218240">
            <identifier>8.</identifier>
            <head align="left" preservecase="true">
              <headtext>Intellectual property</headtext>
            </head>
            <subclause1 id="a435717">
              <identifier>8.1</identifier>
              <head align="left" preservecase="true">
                <headtext>Ownership of Supplier IP</headtext>
              </head>
              <para>
                <paratext>The Customer acknowledges that the Supplier owns all right, title and interest, including all Intellectual Property Rights, in and to the Supplier IP [and, with respect to Third-Party Products, the applicable third-party providers own all right, title and interest, including all Intellectual Property Rights, in and to the Third-Party Products].</paratext>
              </para>
              <drafting.note id="a200397" jurisdiction="">
                <head align="left" preservecase="true">
                  <headtext>Ownership of Intellectual Property Rights in Supplier IP</headtext>
                </head>
                <division id="a000028" level="1">
                  <list type="bulleted">
                    <list.item>
                      <para>
                        <paratext>
                          It is important to include an express acknowledgement by the customer of the supplier's ownership of any intellectual property rights in its SaaS offering. The relevant definitions are of critical importance to ensure the full scope of rights is covered. See 
                          <internal.reference refid="a774570">
                            <ital>Drafting note, Supplier IP</ital>
                          </internal.reference>
                          .
                        </paratext>
                      </para>
                    </list.item>
                  </list>
                </division>
              </drafting.note>
            </subclause1>
            <subclause1 id="a151506">
              <identifier>8.2</identifier>
              <head align="left" preservecase="true">
                <headtext>Ownership of Customer Data</headtext>
              </head>
              <para>
                <paratext>The Supplier acknowledges that the Customer owns all right, title and interest, including all Intellectual Property Rights, in and to the Customer Data.</paratext>
              </para>
            </subclause1>
            <subclause1 id="a968401">
              <identifier>8.3</identifier>
              <head align="left" preservecase="true">
                <headtext>Limited licence to Customer Data</headtext>
              </head>
              <para>
                <paratext>The Customer grants to the Supplier a non-exclusive, royalty-free, worldwide license to reproduce, distribute and otherwise use and display the Customer Data and perform all acts with respect to the Customer Data as may be necessary for the Supplier to provide the Services to the Customer[, and a non-exclusive, perpetual, irrevocable, royalty-free, worldwide licence to reproduce, distribute, modify and otherwise use and display Customer Data incorporated within the Aggregated Statistics].</paratext>
              </para>
              <drafting.note id="a618721" jurisdiction="">
                <head align="left" preservecase="true">
                  <headtext>Licence of Customer Data</headtext>
                </head>
                <division id="a000029" level="1">
                  <para>
                    <paratext>
                      Include the bracketed language if the supplier compiles, collects and uses aggregated statistical data derived from the customer's use of the services, as further detailed in 
                      <internal.reference refid="a769492">
                        <ital>clause 2.8</ital>
                      </internal.reference>
                      .
                    </paratext>
                  </para>
                </division>
              </drafting.note>
            </subclause1>
            <subclause1 id="a885764">
              <identifier>8.4</identifier>
              <head align="left" preservecase="true">
                <headtext>[Feedback</headtext>
              </head>
              <drafting.note id="a135153" jurisdiction="">
                <head align="left" preservecase="true">
                  <headtext>Feedback (optional)</headtext>
                </head>
                <division id="a000030" level="1">
                  <para>
                    <paratext>Some suppliers are concerned that a customer may submit feedback to them regarding the supplier's SaaS offering and then either:</paratext>
                  </para>
                  <list type="bulleted">
                    <list.item>
                      <para>
                        <paratext>Attempt to challenge the supplier's use of the feedback.</paratext>
                      </para>
                    </list.item>
                    <list.item>
                      <para>
                        <paratext>Assert ownership rights in the supplier's products if the supplier incorporates the feedback into the SaaS offering.</paratext>
                      </para>
                    </list.item>
                  </list>
                  <para>
                    <paratext>
                      Optional 
                      <internal.reference refid="a885764">
                        <ital>clause 8.4</ital>
                      </internal.reference>
                       and optional 
                      <internal.reference refid="a134466">
                        <ital>clause 8.5</ital>
                      </internal.reference>
                       address these concerns by permitting the supplier to use and claim ownership of any feedback, respectively.
                    </paratext>
                  </para>
                </division>
              </drafting.note>
              <para>
                <paratext>The Customer acknowledges and agrees that the Supplier is free to use, without any attribution or compensation to any party, any Feedback irrespective of any other obligation or limitation between the parties governing such Feedback.]</paratext>
              </para>
            </subclause1>
            <subclause1 id="a134466">
              <identifier>8.5</identifier>
              <head align="left" preservecase="true">
                <headtext>[Assignment of Feedback</headtext>
              </head>
              <para>
                <paratext>The Customer hereby assigns to the Supplier all of its right, title and interest in and to any ideas, know-how, concepts, techniques or other Intellectual Property Rights contained in any Feedback.]</paratext>
              </para>
            </subclause1>
          </clause>
          <clause id="a670940">
            <identifier>9.</identifier>
            <head align="left" preservecase="true">
              <headtext>Warranties</headtext>
            </head>
            <drafting.note id="a222862" jurisdiction="">
              <head align="left" preservecase="true">
                <headtext>Warranties</headtext>
              </head>
              <division id="a000031" level="1">
                <para>
                  <paratext>Warranties are implied or express present assurances of future circumstances that allocate risk between parties if the warranty is breached. In SaaS agreements, suppliers typically aim to either:</paratext>
                </para>
                <list type="bulleted">
                  <list.item>
                    <para>
                      <paratext>Disclaim all warranties.</paratext>
                    </para>
                  </list.item>
                  <list.item>
                    <para>
                      <paratext>Provide only a limited express warranty with specific limited remedies.</paratext>
                    </para>
                  </list.item>
                </list>
                <para>
                  <paratext>If provided, limited warranties vary based on many factors, including:</paratext>
                </para>
                <list type="bulleted">
                  <list.item>
                    <para>
                      <paratext>The scope and nature of the SaaS offering.</paratext>
                    </para>
                  </list.item>
                  <list.item>
                    <para>
                      <paratext>The parties' respective bargaining power and risk tolerance.</paratext>
                    </para>
                  </list.item>
                </list>
                <para>
                  <paratext>Changes to the warranties may affect the scope of indemnification and limitations on liability provisions. As such, these provisions should always be reviewed together to ensure a change to one section does not create an unintentional, potentially adverse consequence in another.</paratext>
                </para>
              </division>
            </drafting.note>
            <subclause1 id="a252287">
              <identifier>9.1</identifier>
              <head align="left" preservecase="true">
                <headtext>[Warranty disclaimer</headtext>
              </head>
              <drafting.note id="a236304" jurisdiction="">
                <head align="left" preservecase="true">
                  <headtext>Warranty disclaimer (optional)</headtext>
                </head>
                <division id="a000032" level="1">
                  <para>
                    <paratext>
                      SaaS agreements typically include an express disclaimer of warranties to generally exclude any warranties other than those expressly made in the agreement and warranties that are unable to be excluded by law (see, for example, 
                      <internal.reference refid="a544349">
                        <ital>clause 11.1</ital>
                      </internal.reference>
                      ).
                    </paratext>
                  </para>
                </division>
              </drafting.note>
              <para>
                <paratext>
                  Other than as expressly set out in this [Agreement 
                  <bold>OR</bold>
                  <internal.reference refid="a670940">
                    <ital>clause 9</ital>
                  </internal.reference>
                  ], the 
                  <bold>OR</bold>
                   The] Services and Documentation are provided 
                  <bold>as is</bold>
                   and the Supplier excludes all rights, representations, conditions, warranties, guarantees, undertakings, remedies or other terms in relation to the Services to the maximum extent permitted by law.
                </paratext>
              </para>
            </subclause1>
            <subclause1 id="a524227">
              <identifier>9.2</identifier>
              <head align="left" preservecase="true">
                <headtext>[Supplier warranty</headtext>
              </head>
              <drafting.note id="a534047" jurisdiction="">
                <head align="left" preservecase="true">
                  <headtext>Supplier warranty (optional)</headtext>
                </head>
                <division id="a000033" level="1">
                  <para>
                    <paratext>
                      Optional 
                      <internal.reference refid="a524227">
                        <ital>clause 9.2</ital>
                      </internal.reference>
                       provides limited warranties a supplier might provide in respect of its SaaS offering. It includes a warranty that the services substantially conform to the customer's specifications. A warranty of this nature is likely to be requested by customers. In relation to the reasonable endeavours requirement in 
                      <internal.reference refid="a907319">
                        <ital>clause 9.2(c)</ital>
                      </internal.reference>
                      , see 
                      <link href="w-003-9174" style="ACTLinkPLCtoPLC">
                        <ital>Practice note, Reasonable and best endeavours</ital>
                      </link>
                      .
                    </paratext>
                  </para>
                  <para>
                    <paratext>
                      In addition to optional 
                      <internal.reference refid="a524227">
                        <ital>clause 9.2</ital>
                      </internal.reference>
                       or as an alternative, it can be advantageous to the supplier to offer a warranty that the SaaS offering must conform to the supplier's service level standard, and limit remedies to any service credits provided in that standard, because it is easier for the provider to ensure the SaaS offering conforms to the supplier's service level standard than, for example, various customer specifications.
                    </paratext>
                  </para>
                </division>
              </drafting.note>
              <para>
                <paratext>The Supplier warrants to the Customer that:</paratext>
              </para>
              <subclause2 id="a449075">
                <identifier>(a)</identifier>
                <para>
                  <paratext>the Services will operate in substantial conformity with the applicable Documentation during the Term;</paratext>
                </para>
              </subclause2>
              <subclause2 id="a203803">
                <identifier>(b)</identifier>
                <para>
                  <paratext>the Supplier will not materially decrease the functionality or overall security of the Services during the Term; and</paratext>
                </para>
              </subclause2>
              <subclause2 id="a907319">
                <identifier>(c)</identifier>
                <para>
                  <paratext>the Supplier will use reasonable endeavours designed to ensure that the Services, when and as provided by the Supplier, are free of any viruses, malware or similar malicious code.]</paratext>
                </para>
              </subclause2>
            </subclause1>
            <subclause1 id="a903022">
              <identifier>9.3</identifier>
              <head align="left" preservecase="true">
                <headtext>Capacity and authority</headtext>
              </head>
              <para>
                <paratext>Each party warrants that it has full capacity and authority, and all necessary licences, permits and consents to enter into and perform this Agreement and that those signing this Agreement are duly authorised to bind the party for whom they sign.</paratext>
              </para>
            </subclause1>
          </clause>
          <clause id="a603174">
            <identifier>10.</identifier>
            <head align="left" preservecase="true">
              <headtext>Indemnity</headtext>
            </head>
            <drafting.note id="a792030" jurisdiction="">
              <head align="left" preservecase="true">
                <headtext>Indemnity</headtext>
              </head>
              <division id="a000034" level="1">
                <para>
                  <paratext>Indemnification provisions are often heavily negotiated. These provisions aim to allocate the risk of losses between the parties, for example, a party’s potential liability to third parties for the other party’s actions or omissions.</paratext>
                </para>
                <para>
                  <paratext>
                    The parties' indemnity obligations must be coordinated with the limitation of liability provisions (see 
                    <internal.reference refid="a735017">
                      <ital>clause 11</ital>
                    </internal.reference>
                    ). For example, the parties should carefully consider which, if any, indemnification obligations should be carved out from the limitation of liability and exclusion of damages.
                  </paratext>
                </para>
                <para>
                  <paratext>
                    As the other terms of the agreement are negotiated, suppliers should carefully review the indemnities to ensure the provisions fully protect the client to the degree intended. For more information about risk allocation in SaaS agreements, see 
                    <link anchor="a215670" href="w-004-8315" style="ACTLinkPLCtoPLC">
                      <ital>Practice note, Cloud computing agreements: Risk allocation</ital>
                    </link>
                    .
                  </paratext>
                </para>
              </division>
            </drafting.note>
            <subclause1 id="a130808">
              <identifier>10.1</identifier>
              <head align="left" preservecase="true">
                <headtext>Customer indemnities</headtext>
              </head>
              <drafting.note id="a737135" jurisdiction="">
                <head align="left" preservecase="true">
                  <headtext>Customer indemnities</headtext>
                </head>
                <division id="a000035" level="1">
                  <para>
                    <paratext>
                      Some suppliers seek an indemnity from the customer for claims arising from the customer's misuse of the SaaS offering and infringement of third party IP rights by the customer. This 
                      <internal.reference refid="a130808">
                        <ital>clause 10.1</ital>
                      </internal.reference>
                       is uncapped (compare to 
                      <internal.reference refid="a897588">
                        <ital>Drafting note, Limitation of intellectual property indemnity</ital>
                      </internal.reference>
                      ) and does not include the pre-conditions in 
                      <internal.reference refid="a524573">
                        <ital>clause 10.2(a)</ital>
                      </internal.reference>
                       to 
                      <internal.reference refid="a311135">
                        <ital>clause 10.2(d)</ital>
                      </internal.reference>
                      . The customer may seek amendment of this indemnity to ensure a degree of mutuality in 
                      <internal.reference refid="a130808">
                        <ital>clause 10.1</ital>
                      </internal.reference>
                       and 
                      <internal.reference refid="a517742">
                        <ital>clause 10.2</ital>
                      </internal.reference>
                      . For example, if the customer is subject to a cap and a notice requirement, any indemnity in favour of the supplier should be subject to the same conditions.
                    </paratext>
                  </para>
                  <para>
                    <paratext>
                      An alternative form of 
                      <internal.reference refid="a182855">
                        <ital>clause 10.1(a)</ital>
                      </internal.reference>
                       would be to restrict the indemnity to breach of an 
                      <bold>acceptable use policy</bold>
                      . See 
                      <internal.reference refid="a859238">
                        <ital>Drafting note, Use restrictions</ital>
                      </internal.reference>
                      .
                    </paratext>
                  </para>
                  <para>
                    <paratext>
                      See also 
                      <link anchor="a386039" href="w-004-8315" style="ACTLinkPLCtoPLC">
                        <ital>Practice note, Cloud computing agreements: Indemnities from customers for third-party claims made against CSPs (cloud service providers)</ital>
                      </link>
                      .
                    </paratext>
                  </para>
                </division>
              </drafting.note>
              <para>
                <paratext>The Customer indemnifies the Supplier against any direct losses, liabilities, costs, charges or expenses and all interest, penalties and legal costs (calculated on a full indemnity basis) and all other [reasonable] professional costs and expenses suffered or incurred by the Supplier for any claims brought by a third party against the Supplier to the extent arising out of or in connection with:</paratext>
              </para>
              <subclause2 id="a182855">
                <identifier>(a)</identifier>
                <para>
                  <paratext>use of the Services by the Customer or any Authorised User in a manner that breaches this Agreement; or</paratext>
                </para>
              </subclause2>
              <subclause2 id="a864185">
                <identifier>(b)</identifier>
                <para>
                  <paratext>any allegation that the Customer Data infringes, or involves an unauthorised use or disclosure of a third party's Intellectual Property Rights.</paratext>
                </para>
              </subclause2>
            </subclause1>
            <subclause1 id="a517742">
              <identifier>10.2</identifier>
              <head align="left" preservecase="true">
                <headtext>Intellectual Property Rights indemnity</headtext>
              </head>
              <drafting.note id="a183332" jurisdiction="">
                <head align="left" preservecase="true">
                  <headtext>Intellectual Property Rights indemnity</headtext>
                </head>
                <division id="a000036" level="1">
                  <para>
                    <paratext>
                      This 
                      <internal.reference refid="a517742">
                        <ital>clause 10.2</ital>
                      </internal.reference>
                       provides the customer an indemnity against third-party claims that its use of the SaaS offering infringes that third party's IP rights (see 
                      <link anchor="a850764" href="w-004-8315" style="ACTLinkPLCtoPLC">
                        <ital>Practice note, Cloud computing agreements: Intellectual property rights indemnities</ital>
                      </link>
                      ). The supplier will usually agree to this indemnity, but will likely negotiate the scope of the protection and seek various exceptions (see 
                      <internal.reference refid="a544349">
                        <ital>clause 11.1</ital>
                      </internal.reference>
                       and 
                      <internal.reference refid="a818336">
                        <ital>clause 11.2</ital>
                      </internal.reference>
                       and associated drafting notes).
                    </paratext>
                  </para>
                  <para>
                    <paratext>Although a supplier may wish to omit this provision from an aggressive draft, most customers insist on being indemnified for infringement. Including a basic indemnification clause may facilitate quicker negotiations and result in a provision that is more favourable to the supplier than one the customer may otherwise request.</paratext>
                  </para>
                  <para>
                    <paratext>
                      From the supplier's perspective, it is important to ensure that the cap on liability in 
                      <internal.reference refid="a818336">
                        <ital>clause 11.2</ital>
                      </internal.reference>
                       applies to the supplier's liability under 
                      <internal.reference refid="a517742">
                        <ital>clause 10.2</ital>
                      </internal.reference>
                      . Conversely, the customer will want to ensure that this cap does not apply to the supplier's liability under 
                      <internal.reference refid="a517742">
                        <ital>clause 10.2</ital>
                      </internal.reference>
                      .
                    </paratext>
                  </para>
                  <para>
                    <paratext>
                      The proviso to 
                      <internal.reference refid="a517742">
                        <ital>clause 10.2</ital>
                      </internal.reference>
                       outlines the procedure to be adopted when a third party notifies the customer of an alleged IP rights infringement. It is drafted as a proviso so that, if the customer does not meet any such condition, the supplier is not obliged to fulfil its indemnity obligation. Conversely, the customer will want the supplier's indemnity obligation to be unconditional, and may seek to remove these procedural requirements entirely or eliminate the proviso language so that the supplier's indemnity obligation is not conditioned on these requirements. The customer may also seek to make the procedural requirements mutual and include them in 
                      <internal.reference refid="a130808">
                        <ital>clause 10.1</ital>
                      </internal.reference>
                       for its own benefit.
                    </paratext>
                  </para>
                  <para>
                    <paratext>
                      Under 
                      <internal.reference refid="a311135">
                        <ital>clause 10.2(d)</ital>
                      </internal.reference>
                      , the supplier will want to have control of any litigation as the outcome will determine the extent of its liability under 
                      <internal.reference refid="a517742">
                        <ital>clause 10.2</ital>
                      </internal.reference>
                      . However, the customer may wish to retain control to avoid protracted litigation and possible harm to its reputation.
                    </paratext>
                  </para>
                  <para>
                    <paratext>These issues need to be fully explored with the supplier before finalising this clause in the first draft.</paratext>
                  </para>
                </division>
              </drafting.note>
              <para>
                <paratext>
                  The Supplier undertakes at its own expense to defend the Customer or, at its option, settle any claim or action brought against the Customer alleging that the Customer's use of the Services, or the Customer's receipt of the benefit of the use of the Services, in each case in accordance with this Agreement, infringes, or involves an unauthorised use or disclosure of a third party's [Australian] Intellectual Property Rights (
                  <bold>Claim</bold>
                  ) and will be responsible for any reasonable losses, damages, costs (including legal fees) and expenses incurred by or awarded against the Customer as a result of or in connection with any such Claim, provided that if any third party makes a Claim, or notifies an intention to make a Claim, against the Customer that may reasonably be considered likely to give rise to a liability under this indemnity, the Customer:
                </paratext>
              </para>
              <subclause2 id="a524573">
                <identifier>(a)</identifier>
                <para>
                  <paratext>as soon as reasonably practicable, gives Notice of the Claim to the Supplier, specifying the nature of the Claim in reasonable detail;</paratext>
                </para>
              </subclause2>
              <subclause2 id="a407154">
                <identifier>(b)</identifier>
                <para>
                  <paratext>does not make any admission of liability, agreement or compromise in relation to the Claim without the prior written consent of the Supplier [(such consent not to be unreasonably conditioned, withheld or delayed)], except where required by law;</paratext>
                </para>
              </subclause2>
              <subclause2 id="a678381">
                <identifier>(c)</identifier>
                <para>
                  <paratext>gives the Supplier and its professional advisers access at reasonable times (on reasonable prior notice) to its premises and its officers, directors, employees, agents, representatives or advisers, and to any relevant assets, accounts, documents and records within the power or control of the Customer, so as to enable the Supplier and its professional advisers to examine them and to take copies (at the Supplier's expense) for the purpose of assessing the Claim; and</paratext>
                </para>
              </subclause2>
              <subclause2 id="a311135">
                <identifier>(d)</identifier>
                <para>
                  <paratext>subject to the Supplier providing security to the Customer to the Customer's reasonable satisfaction against any claim, liability, costs, expenses, damages or losses that may be incurred, takes such action as the Supplier may reasonably request to avoid, dispute, compromise or defend the Claim.</paratext>
                </para>
              </subclause2>
            </subclause1>
            <subclause1 id="a449563">
              <identifier>10.3</identifier>
              <head align="left" preservecase="true">
                <headtext>Exclusions from Intellectual Property Rights indemnity</headtext>
              </head>
              <drafting.note id="a236649" jurisdiction="">
                <head align="left" preservecase="true">
                  <headtext>Exclusions from Intellectual Property Rights indemnity</headtext>
                </head>
                <division id="a000037" level="1">
                  <para>
                    <paratext>
                      This 
                      <internal.reference refid="a449563">
                        <ital>clause 10.3</ital>
                      </internal.reference>
                       ensures that the supplier does not have liability if the third-party infringement claim arises from something the customer has done outside the authorised or expected use of the SaaS offering (see 
                      <internal.reference refid="a859238">
                        <ital>Drafting note, Use restrictions</ital>
                      </internal.reference>
                      ), or from a third-party product that it does not have control over.
                    </paratext>
                  </para>
                  <para>
                    <paratext>
                      The optional language in relation to third-party products should be included if optional 
                      <internal.reference refid="a433233">
                        <ital>clause 3.4</ital>
                      </internal.reference>
                       is used.
                    </paratext>
                  </para>
                </division>
              </drafting.note>
              <para>
                <paratext>
                  Without prejudice to 
                  <internal.reference refid="a895687">
                    <ital>clause 10.5</ital>
                  </internal.reference>
                  , the Supplier's obligations under 
                  <internal.reference refid="a517742">
                    <ital>clause 10.2</ital>
                  </internal.reference>
                   will not apply to the extent any Claim is caused or contributed to by:
                </paratext>
              </para>
              <subclause2 id="a682804">
                <identifier>(a)</identifier>
                <para>
                  <paratext>use of the Services by the Customer or any Authorised User in breach of this Agreement [or in combination with Third-Party Products]; or</paratext>
                </para>
              </subclause2>
              <subclause2 id="a835209">
                <identifier>(b)</identifier>
                <para>
                  <paratext>Customer Data [or Third-Party Products].</paratext>
                </para>
              </subclause2>
            </subclause1>
            <subclause1 id="a450362">
              <identifier>10.4</identifier>
              <head align="left" preservecase="true">
                <headtext>Termination if infringement cannot be remedied</headtext>
              </head>
              <drafting.note id="a843114" jurisdiction="">
                <head align="left" preservecase="true">
                  <headtext>Termination if infringement cannot be remedied</headtext>
                </head>
                <division id="a000038" level="1">
                  <para>
                    <paratext>
                      The supplier should seek to protect itself under the provisions of 
                      <internal.reference refid="a450362">
                        <ital>clause 10.4</ital>
                      </internal.reference>
                      , which allow it to terminate the agreement where the infringement cannot be remedied after use of best efforts (see 
                      <link href="w-003-9174" style="ACTLinkPLCtoPLC">
                        <ital>Practice note, Reasonable and best endeavours</ital>
                      </link>
                      ). In this event, the customer will probably ask that the supplier repay some or all of the money the customer paid under the agreement, so it might be tactically prudent for the supplier to insert in its original draft a limited repayment provision.
                    </paratext>
                  </para>
                </division>
              </drafting.note>
              <para>
                <paratext>If:</paratext>
              </para>
              <subclause2 id="a274590">
                <identifier>(a)</identifier>
                <para>
                  <paratext>use of the Services is determined in a court of law to be infringing;</paratext>
                </para>
              </subclause2>
              <subclause2 id="a141076">
                <identifier>(b)</identifier>
                <para>
                  <paratext>the Supplier is advised by a barrister of at least ten years' call that use by the Customer of the Services in accordance with this Agreement is likely to constitute infringement of a third party's rights; or</paratext>
                </para>
              </subclause2>
              <subclause2 id="a601976">
                <identifier>(c)</identifier>
                <para>
                  <paratext>an injunction or similar order is granted in connection with a Claim that prevents or restricts the use by the Customer of the Services in accordance with this Agreement,</paratext>
                </para>
              </subclause2>
              <para>
                <paratext>and the Supplier is unable, after best efforts, to procure for the Customer the right to continue using the Services (as the case may be) or to provide the Customer with functionally equivalent non-infringing services, either party may terminate this Agreement.</paratext>
              </para>
            </subclause1>
            <subclause1 id="a895687">
              <identifier>10.5</identifier>
              <head align="left" preservecase="true">
                <headtext>Mitigation</headtext>
              </head>
              <para>
                <paratext>
                  Nothing in this 
                  <internal.reference refid="a603174">
                    <ital>clause 10</ital>
                  </internal.reference>
                   will restrict or limit a party's general obligation at law to mitigate a loss it may suffer or incur as a result of an event that may give rise to a claim under any indemnity in this Agreement.
                </paratext>
              </para>
            </subclause1>
          </clause>
          <clause id="a735017">
            <identifier>11.</identifier>
            <head align="left" preservecase="true">
              <headtext>Limitation of liability</headtext>
            </head>
            <drafting.note id="a811738" jurisdiction="">
              <head align="left" preservecase="true">
                <headtext>Limitation of liability</headtext>
              </head>
              <division id="a000039" level="1">
                <para>
                  <paratext>
                    This 
                    <internal.reference refid="a735017">
                      <ital>clause 11</ital>
                    </internal.reference>
                     is key to management of the supplier's risk.
                  </paratext>
                </para>
                <para>
                  <paratext>
                    Any commercial transaction may give rise to legal liability, including for breach of contract, 
                    <link href="http://www.practicallaw.com/w-004-5505" style="ACTLinkURL">
                      <bold>
                        <ital>negligence</ital>
                      </bold>
                    </link>
                    , misrepresentation and breach of statutory duty. In the absence of a limitation clause, there is no financial limit on the losses for which a party can seek to recover damages. Most SaaS agreements include limitations of liability.
                  </paratext>
                </para>
                <para>
                  <paratext>Limitation of liability provisions in commercial agreements typically:</paratext>
                </para>
                <list type="bulleted">
                  <list.item>
                    <para>
                      <paratext>
                        Exclude liability for most or all indirect loss, including 
                        <link href="w-010-4849" style="ACTLinkPLCtoPLC">
                          <bold>
                            <ital>consequential loss</ital>
                          </bold>
                        </link>
                        .
                      </paratext>
                    </para>
                  </list.item>
                  <list.item>
                    <para>
                      <paratext>Cap the amount of loss for which a party may be liable.</paratext>
                    </para>
                  </list.item>
                  <list.item>
                    <para>
                      <paratext>Restrict a party's rights to make a claim.</paratext>
                    </para>
                  </list.item>
                </list>
                <para>
                  <paratext>SaaS suppliers invariably seek to limit or exclude their liability for breach of contract or negligence. Without limitations of liability, the supplier may be exposed to unlimited liability that may far exceed the amounts it receives from the customer under the agreement.</paratext>
                </para>
                <para>
                  <paratext>This clause is for use between two businesses. It is not intended for use in, for example:</paratext>
                </para>
                <list type="bulleted">
                  <list.item>
                    <para>
                      <paratext>
                        <link href="w-003-9198" style="ACTLinkPLCtoPLC">
                          <bold>
                            <ital>Consumer contracts</ital>
                          </bold>
                        </link>
                        , which are governed by an extensive body of consumer protection law and involve legal and regulatory requirements and practical considerations that are beyond the scope of this resource.
                      </paratext>
                    </para>
                  </list.item>
                  <list.item>
                    <para>
                      <paratext>
                        <link href="w-003-9195" style="ACTLinkPLCtoPLC">
                          <bold>
                            <ital>Small business contracts</ital>
                          </bold>
                        </link>
                        , as further considerations would apply to ensure the clause does not contravene the 
                        <link href="w-013-1088" style="ACTLinkPLCtoPLC">
                          <bold>
                            <ital>unfair contract terms</ital>
                          </bold>
                        </link>
                         protections.
                      </paratext>
                    </para>
                  </list.item>
                </list>
                <para>
                  <paratext>
                    Where the unfair contract terms regime applies to this document, a broad or excessive limitation or exclusion of liability in favour of one party may be an unfair term. If a term is unfair, it may be void. In addition, under the current regime, a party may contravene the law by proposing the unfair term, or by applying, relying on. Or purporting to apply or rely on it. Pecuniary penalties and other remedies may apply. For further information and indicators of unfair terms, see 
                    <link anchor="a991243" href="w-038-1906" style="ACTLinkPLCtoPLC">
                      <ital>Checklist, Application of the unfair contract terms regime and assessing whether a term is unfair: Indicators of unfair contract terms</ital>
                    </link>
                    .
                  </paratext>
                </para>
                <para>
                  <paratext>For more information about the legal and practical issues that arise when parties wish to limit or exclude liability in a business-to-business contract, see Practice notes:</paratext>
                </para>
                <list type="bulleted">
                  <list.item>
                    <para>
                      <paratext>
                        <link anchor="a215670" href="w-004-8315" style="ACTLinkPLCtoPLC">
                          <ital>Cloud computing agreements: Risk allocation</ital>
                        </link>
                        <ital>.</ital>
                      </paratext>
                    </para>
                  </list.item>
                  <list.item>
                    <para>
                      <paratext>
                        <link href="w-003-9175" style="ACTLinkPLCtoPLC">
                          <ital>Limitation and exclusion of liability in commercial contracts</ital>
                        </link>
                        <ital>.</ital>
                      </paratext>
                    </para>
                  </list.item>
                </list>
                <para>
                  <paratext>
                    See also 
                    <link href="w-006-3252" style="ACTLinkPLCtoPLC">
                      <ital>Standard clause, Limitation and exclusion of liability (commercial transactions)</ital>
                    </link>
                    .
                  </paratext>
                </para>
                <division id="a539677" level="2">
                  <head align="left" preservecase="true">
                    <headtext>Drafting tips</headtext>
                  </head>
                  <para>
                    <paratext>
                      The courts may interpret any ambiguity or lack of clarity in an exclusion or limitation clause 
                      <link href="w-012-7007" style="ACTLinkPLCtoPLC">
                        <bold>
                          <ital>contra proferentem</ital>
                        </bold>
                      </link>
                      <bold>
                        <ital> </ital>
                      </bold>
                      (that is, against the interests of the person relying on the clause) (
                      <ital>Darlington Futures Ltd v Delco Aust Pty Ltd</ital>
                       (1986) 161 CLR 500; [1986] HCA 82 and 
                      <ital>Photo Productions Ltd v Securicor Transport Ltd</ital>
                       [1980] 2 WLR 283). The courts' approach to a clause that may exclude liability for negligence may be particularly strict. For more information about 
                      <ital>contra proferentem</ital>
                       clauses, see 
                      <link href="w-005-8533" style="ACTLinkPLCtoPLC">
                        <ital>Standard clause, Contra proferentem</ital>
                      </link>
                      <ital> </ital>
                      and its related drafting notes.
                    </paratext>
                  </para>
                </division>
                <division id="a564140" level="2">
                  <head align="left" preservecase="true">
                    <headtext>Understand the parties' risk</headtext>
                  </head>
                  <para>
                    <paratext>Before the parties negotiate the scope of the limitation on liability, each party should determine which of the parties is more likely to incur liability and be sued by the other party, and consider the nature of any potential liability. To do this, the parties should consider:</paratext>
                  </para>
                  <list type="bulleted">
                    <list.item>
                      <para>
                        <paratext>The nature and extent of each party's performance obligations under the agreement.</paratext>
                      </para>
                    </list.item>
                    <list.item>
                      <para>
                        <paratext>The nature of the SaaS and the risk of third-party claims.</paratext>
                      </para>
                    </list.item>
                    <list.item>
                      <para>
                        <paratext>The nature of each party's activities under the agreement and otherwise, and the degree to which these activities may be:</paratext>
                      </para>
                      <list type="bulleted">
                        <list.item>
                          <para>
                            <paratext>potentially dangerous to either party, its employees or third parties; or</paratext>
                          </para>
                        </list.item>
                        <list.item>
                          <para>
                            <paratext>imputed to or deemed the responsibility of the other party.</paratext>
                          </para>
                        </list.item>
                      </list>
                    </list.item>
                  </list>
                  <list type="bulleted">
                    <list.item>
                      <para>
                        <paratext>Whether there is any IP included with or embedded in the software.</paratext>
                      </para>
                    </list.item>
                    <list.item>
                      <para>
                        <paratext>Whether any IP included with or embedded in the software is likely to infringe third-party IP rights.</paratext>
                      </para>
                    </list.item>
                    <list.item>
                      <para>
                        <paratext>Whether either party is a credit risk.</paratext>
                      </para>
                    </list.item>
                    <list.item>
                      <para>
                        <paratext>Whether either party presents a performance risk, based on history, reputation or otherwise.</paratext>
                      </para>
                    </list.item>
                  </list>
                  <para>
                    <paratext>
                      For further information about common risks the parties may need to consider, see 
                      <link anchor="a855313" href="w-003-9175" style="ACTLinkPLCtoPLC">
                        <ital>Practice note, Limitation and exclusion of liability in commercial contracts: Common types of risks to consider</ital>
                      </link>
                      .
                    </paratext>
                  </para>
                  <para>
                    <paratext>
                      For further information about negotiating limitations of liability, see 
                      <link anchor="a848983" href="w-003-9175" style="ACTLinkPLCtoPLC">
                        <ital>Practice note, Limitation and exclusion of liability in commercial contracts: Negotiating limitation and exclusion of liability</ital>
                      </link>
                      .
                    </paratext>
                  </para>
                </division>
                <division id="a503130" level="2">
                  <head align="left" preservecase="true">
                    <headtext>Consider other commercial and contractual solutions for managing risk</headtext>
                  </head>
                  <para>
                    <paratext>In addition to the insertion of a limitation of liability clause into the contract, there are several ways, both commercial and contractual, to limit the scope of a party's liability.</paratext>
                  </para>
                  <para>
                    <paratext>Commercial solutions include:</paratext>
                  </para>
                  <list type="bulleted">
                    <list.item>
                      <para>
                        <paratext>
                          Requesting third-party 
                          <link href="http://www.practicallaw.com/w-011-2450" style="ACTLinkURL">
                            <bold>
                              <ital>guarantees</ital>
                            </bold>
                          </link>
                           in relation to performance.
                        </paratext>
                      </para>
                    </list.item>
                    <list.item>
                      <para>
                        <paratext>Considering the extent to which insurance will cover relevant risks. See Practice notes:</paratext>
                      </para>
                      <list type="bulleted">
                        <list.item>
                          <para>
                            <paratext>
                              <link anchor="a110168" href="w-003-9175" style="ACTLinkPLCtoPLC">
                                <ital>Limitation and exclusion of liability in commercial contracts: Consider what insurance is available</ital>
                              </link>
                              ; and
                            </paratext>
                          </para>
                        </list.item>
                        <list.item>
                          <para>
                            <paratext>
                              <link href="w-006-5599" style="ACTLinkPLCtoPLC">
                                <ital>Insurance in commercial transactions</ital>
                              </link>
                              .
                            </paratext>
                          </para>
                        </list.item>
                      </list>
                    </list.item>
                  </list>
                  <para>
                    <paratext>
                      For further information about these and other commercial solutions for managing risk, see 
                      <link anchor="a1006055" href="w-003-9175" style="ACTLinkPLCtoPLC">
                        <ital>Practice note, Limitation and exclusion of liability in commercial contracts: Commercial solutions</ital>
                      </link>
                      .
                    </paratext>
                  </para>
                  <para>
                    <paratext>Contractual solutions include:</paratext>
                  </para>
                  <list type="bulleted">
                    <list.item>
                      <para>
                        <paratext>
                          Use of an entire agreement clause (see 
                          <internal.reference refid="a209450">
                            <ital>clause 15.13</ital>
                          </internal.reference>
                          ).
                        </paratext>
                      </para>
                    </list.item>
                    <list.item>
                      <para>
                        <paratext>
                          Termination rights (see 
                          <internal.reference refid="a818835">
                            <ital>clause 12</ital>
                          </internal.reference>
                          ).
                        </paratext>
                      </para>
                    </list.item>
                  </list>
                  <para>
                    <paratext>
                      If the parties seek to impose exclusions that are too wide, or liability caps that are too low, they run the risk of the entire exclusion clause being deemed ineffective. For further information, see 
                      <link anchor="a654296" href="w-003-9175" style="ACTLinkPLCtoPLC">
                        <ital>Practice note, Limitation and exclusion of liability in commercial contracts: Restrictions on a party's ability to exclude or limit liability</ital>
                      </link>
                      .
                    </paratext>
                  </para>
                </division>
              </division>
            </drafting.note>
            <subclause1 id="a544349">
              <identifier>11.1</identifier>
              <head align="left" preservecase="true">
                <headtext>Warranty disclaimer</headtext>
              </head>
              <para>
                <paratext>
                  Subject to the other terms of this 
                  <internal.reference refid="a735017">
                    <ital>clause 11</ital>
                  </internal.reference>
                  , the Supplier excludes all rights, representations, guarantees, conditions, warranties, undertakings, remedies or other terms in relation to the Services that are not expressly set out in this Agreement to the maximum extent permitted by law.
                </paratext>
              </para>
            </subclause1>
            <subclause1 id="a818336">
              <identifier>11.2</identifier>
              <head align="left" preservecase="true">
                <headtext>Liability cap</headtext>
              </head>
              <drafting.note id="a388367" jurisdiction="">
                <head align="left" preservecase="true">
                  <headtext>Liability cap</headtext>
                </head>
                <division id="a000040" level="1">
                  <para>
                    <paratext>Capping liability at the equivalent of 12 months' fees is almost an industry standard. Sometimes a customer will insist on a minimum amount (or a floor) to the cap (for example, the cap is the greater of a fixed amount and the annual fees paid). Sometimes the cap is a multiple of the fees (for example, 1.25 x the annual fees).</paratext>
                  </para>
                  <para>
                    <paratext>These negotiations are almost always contentious and time consuming as the parties develop a fair way to apportion risk. There are many elements affecting risk allocation and to focus only on the size of the cap can lead to errors. The assessment of the risk allocation will need to take into account factors such as:</paratext>
                  </para>
                  <list type="bulleted">
                    <list.item>
                      <para>
                        <paratext>Whether liability caps are per event or in aggregate.</paratext>
                      </para>
                    </list.item>
                    <list.item>
                      <para>
                        <paratext>Which liabilities are outside the cap.</paratext>
                      </para>
                    </list.item>
                    <list.item>
                      <para>
                        <paratext>How widely the exclusion of consequential loss clause is drafted.</paratext>
                      </para>
                    </list.item>
                    <list.item>
                      <para>
                        <paratext>Termination rights.</paratext>
                      </para>
                    </list.item>
                  </list>
                  <para>
                    <paratext>
                      This document may optionally include service credits (see 
                      <internal.reference refid="a932891">
                        <ital>paragraph 3</ital>
                      </internal.reference>
                      ). The availability and amount of service credits are usually also a factor in risk allocation as they provide a defined remedy for service failure but typically also limit further liability.
                    </paratext>
                  </para>
                  <para>
                    <paratext>When assessing the reasonableness of a risk allocation regime, it is also important to keep sight of what liability is not excluded, capped or limited.</paratext>
                  </para>
                  <para>
                    <paratext>It is difficult to generalise across all types of software procurement as there are variations across product sectors. However, the following areas of liability are often carved out from liability caps:</paratext>
                  </para>
                  <list type="bulleted">
                    <list.item>
                      <para>
                        <paratext>Death or personal injury caused by negligence.</paratext>
                      </para>
                    </list.item>
                    <list.item>
                      <para>
                        <paratext>Fraud or misleading or deceptive conduct (under Australian law, this liability cannot be excluded).</paratext>
                      </para>
                    </list.item>
                    <list.item>
                      <para>
                        <paratext>Damage to tangible property.</paratext>
                      </para>
                    </list.item>
                    <list.item>
                      <para>
                        <paratext>Breach of confidentiality obligations.</paratext>
                      </para>
                    </list.item>
                    <list.item>
                      <para>
                        <paratext>IP infringement as covered under an indemnity.</paratext>
                      </para>
                    </list.item>
                    <list.item>
                      <para>
                        <paratext>Breach of privacy laws.</paratext>
                      </para>
                    </list.item>
                  </list>
                  <para>
                    <paratext>
                      (See 
                      <internal.reference refid="a587608">
                        <ital>clause 11.5</ital>
                      </internal.reference>
                      .)
                    </paratext>
                  </para>
                  <para>
                    <paratext>
                      The combined definition of maximum aggregate liability adopted in 
                      <internal.reference refid="a544349">
                        <ital>clause 11.1</ital>
                      </internal.reference>
                       allows for the cap to reflect the sums actually paid, while ensuring that there is an initial minimum liability in the early days of the agreement when not much may have yet been paid in the way of fees.
                    </paratext>
                  </para>
                  <para>
                    <paratext>If adopting this approach, the percentage or multiple will depend on the parties' bargaining position and general industry practice.</paratext>
                  </para>
                  <para>
                    <paratext>A simpler approach is to cap the supplier's liability to a fixed financial amount.</paratext>
                  </para>
                  <division id="a474032" level="2">
                    <head align="left" preservecase="true">
                      <headtext>Paid or payable?</headtext>
                    </head>
                    <para>
                      <paratext>Calculating the cap by reference to sums actually paid will favour the paying party against whom the claim is made (generally the supplier or service provider), whereas calculating it by reference to sums paid and payable will favour the claimant (generally the customer).</paratext>
                    </para>
                  </division>
                  <division id="a897588" level="2">
                    <head align="left" preservecase="true">
                      <headtext>Limitation of intellectual property indemnity</headtext>
                    </head>
                    <para>
                      <paratext>For IP indemnities, market practice has tended to be that liability under an IP indemnity is not capped, although there is an emerging trend to apply caps to IP indemnities. There is also some variation in approach across geographies, with deals with United States (US) suppliers being less likely to result in uncapped and unlimited IP indemnities.</paratext>
                    </para>
                    <para>
                      <paratext>
                        The optional language in 
                        <internal.reference refid="a818336">
                          <ital>clause 11.2</ital>
                        </internal.reference>
                         would cap the liability under the supplier's indemnity in 
                        <internal.reference refid="a517742">
                          <ital>clause 10.2</ital>
                        </internal.reference>
                        . If that optional language is used, optional 
                        <internal.reference refid="a690932">
                          <ital>clause 11.5(b)(vii)</ital>
                        </internal.reference>
                         needs to be deleted.
                      </paratext>
                    </para>
                    <para>
                      <paratext>
                        For software, key risks are infringement of 
                        <link href="w-015-3368" style="ACTLinkPLCtoPLC">
                          <bold>
                            <ital>copyright</ital>
                          </bold>
                        </link>
                         and 
                        <link href="w-017-7238" style="ACTLinkPLCtoPLC">
                          <bold>
                            <ital>patents</ital>
                          </bold>
                        </link>
                        . It will be difficult for the customer to assess these risks, and they will argue that the supplier should understand the market and offer comprehensive protection. However, US suppliers will be reluctant to take on risks associated with patents. For more information, see Practice notes:
                      </paratext>
                    </para>
                    <list type="bulleted">
                      <list.item>
                        <para>
                          <paratext>
                            <link href="w-006-7401" style="ACTLinkPLCtoPLC">
                              <ital>Intellectual property protection of software</ital>
                            </link>
                            .
                          </paratext>
                        </para>
                      </list.item>
                      <list.item>
                        <para>
                          <paratext>
                            <link anchor="a850764" href="w-004-8315" style="ACTLinkPLCtoPLC">
                              <ital>Cloud computing agreements: Intellectual property rights indemnities</ital>
                            </link>
                            .
                          </paratext>
                        </para>
                      </list.item>
                    </list>
                  </division>
                </division>
              </drafting.note>
              <para>
                <paratext>
                  Subject to the other terms of this 
                  <internal.reference refid="a735017">
                    <ital>clause 11</ital>
                  </internal.reference>
                  , the Supplier's maximum aggregate liability to the Customer in any 12-month period for any loss or damage arising out of or in connection with this Agreement, including any breach by the Supplier of this Agreement however arising, [under any indemnity,] in tort (including negligence), under any statute, custom, law or on any other basis, is limited to the greater of:
                </paratext>
              </para>
              <subclause2 id="a688870">
                <identifier>(a)</identifier>
                <para>
                  <paratext>$[MINIMUM AMOUNT]; and</paratext>
                </para>
              </subclause2>
              <subclause2 id="a603915">
                <identifier>(b)</identifier>
                <para>
                  <paratext>[NUMBER]% of the charges paid by the Customer under this Agreement in the 12-month period preceding the matter or event giving rise to the claim.</paratext>
                </para>
              </subclause2>
            </subclause1>
            <subclause1 id="a584201">
              <identifier>11.3</identifier>
              <head align="left" preservecase="true">
                <headtext>Exclusion of special, indirect or consequential loss</headtext>
              </head>
              <drafting.note id="a879765" jurisdiction="">
                <head align="left" preservecase="true">
                  <headtext>Exclusion of special, indirect or consequential loss</headtext>
                </head>
                <division id="a000041" level="1">
                  <para>
                    <paratext>
                      This 
                      <internal.reference refid="a584201">
                        <ital>clause 11.3</ital>
                      </internal.reference>
                       should be used by the parties with caution as provisions excluding certain categories of loss (such as special, indirect or 
                      <link href="http://www.practicallaw.com/w-010-4849" style="ACTLinkURL">
                        <bold>
                          <ital>consequential loss</ital>
                        </bold>
                      </link>
                      ) are often misunderstood and the potential consequences are not always given due consideration.
                    </paratext>
                  </para>
                  <para>
                    <paratext>Similar to indemnity provisions, reliance on a precedent exclusion clause or broadly drafted exclusion clause may have unintended and costly consequences. For example, it is unlikely to be in the best interests of the customer to agree to the exclusion of "loss of agreements or contracts", where the customer may lose a substantial customer contract with significant financial consequences for the business, if the supplier's SaaS offering experiences a prolonged outage or a loss of data.</paratext>
                  </para>
                  <para>
                    <paratext>Where used appropriately, the exclusion of certain categories of loss (such as special, indirect or consequential) can effectively reduce exposure to liability arising from:</paratext>
                  </para>
                  <list type="bulleted">
                    <list.item>
                      <para>
                        <paratext>Open-ended, ill-defined or unlimited types of liability that may flow from a party's breach of the agreement.</paratext>
                      </para>
                    </list.item>
                    <list.item>
                      <para>
                        <paratext>Losses that the other party can insure against.</paratext>
                      </para>
                    </list.item>
                    <list.item>
                      <para>
                        <paratext>Insurance policy exclusions, which limit the types of loss a party can recover from its insurance policy.</paratext>
                      </para>
                    </list.item>
                  </list>
                  <para>
                    <paratext>If including this clause:</paratext>
                  </para>
                  <list type="bulleted">
                    <list.item>
                      <para>
                        <paratext>Consider the likelihood of any special, indirect or consequential damages arising, the potential amount of loss and the likelihood of being sued by the other party when drafting the categories of loss to be excluded.</paratext>
                      </para>
                    </list.item>
                    <list.item>
                      <para>
                        <paratext>Avoid interpretation issues by listing the categories of loss in as much detail as possible (for example, goodwill or loss of profits). The parties should be aware, however, that the use of such phrases may still fail to provide enough clarity.</paratext>
                      </para>
                    </list.item>
                  </list>
                  <para>
                    <paratext>
                      For further information, see 
                      <link anchor="a467933" href="w-006-3252" style="ACTLinkPLCtoPLC">
                        <ital>Standard clause, Limitation and exclusion of liability (commercial transactions): clause 1.5</ital>
                      </link>
                       and Practice notes:
                    </paratext>
                  </para>
                  <list type="bulleted">
                    <list.item>
                      <para>
                        <paratext>
                          <link anchor="a730131" href="w-004-8315" style="ACTLinkPLCtoPLC">
                            <ital>Cloud computing agreements: Exclusions of indirect and consequential losses (including loss of data)</ital>
                          </link>
                          <ital>.</ital>
                        </paratext>
                      </para>
                    </list.item>
                    <list.item>
                      <para>
                        <paratext>
                          <link anchor="a414480" href="w-003-9175" style="ACTLinkPLCtoPLC">
                            <ital>Limitation and exclusion of liability in commercial contracts: Drafting an effective clause to exclude consequential loss</ital>
                          </link>
                          .
                        </paratext>
                      </para>
                    </list.item>
                  </list>
                </division>
              </drafting.note>
              <para>
                <paratext>
                  Subject to the other terms of this 
                  <internal.reference refid="a735017">
                    <ital>clause 11</ital>
                  </internal.reference>
                  , [each party excludes any liability to the other 
                  <bold>OR</bold>
                   the Supplier excludes any liability to the Customer], whether in contract, tort (including negligence) or otherwise, for any special, indirect or consequential loss arising under or in connection with this Agreement, including any:
                </paratext>
              </para>
              <subclause2 id="a557050">
                <identifier>(a)</identifier>
                <para>
                  <paratext>loss of profits;</paratext>
                </para>
              </subclause2>
              <subclause2 id="a632782">
                <identifier>(b)</identifier>
                <para>
                  <paratext>loss of production;</paratext>
                </para>
              </subclause2>
              <subclause2 id="a426011">
                <identifier>(c)</identifier>
                <para>
                  <paratext>loss of agreements or contracts;</paratext>
                </para>
              </subclause2>
              <subclause2 id="a655288">
                <identifier>(d)</identifier>
                <para>
                  <paratext>loss of, or damage to, goodwill;</paratext>
                </para>
              </subclause2>
              <subclause2 id="a428970">
                <identifier>(e)</identifier>
                <para>
                  <paratext>loss of reputation;</paratext>
                </para>
              </subclause2>
              <subclause2 id="a736654">
                <identifier>(f)</identifier>
                <para>
                  <paratext>loss of sales or business;</paratext>
                </para>
              </subclause2>
              <subclause2 id="a698581">
                <identifier>(g)</identifier>
                <para>
                  <paratext>loss of business opportunity;</paratext>
                </para>
              </subclause2>
              <subclause2 id="a287768">
                <identifier>(h)</identifier>
                <para>
                  <paratext>loss of anticipated savings; and</paratext>
                </para>
              </subclause2>
              <subclause2 id="a991598">
                <identifier>(i)</identifier>
                <para>
                  <paratext>loss, or corruption, of software, data or information.</paratext>
                </para>
              </subclause2>
            </subclause1>
            <subclause1 id="a722595">
              <identifier>11.4</identifier>
              <head align="left" preservecase="true">
                <headtext>No liability for Service Suspension</headtext>
              </head>
              <para>
                <paratext>
                  Subject to the other terms of this 
                  <internal.reference refid="a735017">
                    <ital>clause 11</ital>
                  </internal.reference>
                  , the Supplier will have no liability for any damage, liabilities, losses (including any loss of data or profits), or any other consequences that Customer or any Authorised User may incur as a result of a Service Suspension.
                </paratext>
              </para>
            </subclause1>
            <subclause1 id="a587608">
              <identifier>11.5</identifier>
              <head align="left" preservecase="true">
                <headtext>Liabilities that are not limited or excluded</headtext>
              </head>
              <drafting.note id="a323967" jurisdiction="">
                <head align="left" preservecase="true">
                  <headtext>Liabilities that are not limited or excluded</headtext>
                </head>
                <division id="a000042" level="1">
                  <para>
                    <paratext>Some liabilities cannot be limited and a clause that purports to do so will be void. For commercial reasons, there may also be some liabilities that a party may not wish to be excluded.</paratext>
                  </para>
                  <para>
                    <paratext>
                      <internal.reference refid="a773297">
                        <ital>Clause 11.5(a)</ital>
                      </internal.reference>
                       and 
                      <internal.reference refid="a401094">
                        <ital>clause 11.5(b)(i)</ital>
                      </internal.reference>
                       to 
                      <internal.reference refid="a998712">
                        <ital>clause 11.5(b)(iii)</ital>
                      </internal.reference>
                       set out standard carve-outs from the exclusion or limitation of liability and should not be contentious. The optional wording includes examples of other forms of liability that may be preserved, depending on, for example, the nature of the SaaS offering and the risk appetite of the parties. Carefully consider the optional wording together with other liability provisions (in particular those set out at 
                      <internal.reference refid="a603174">
                        <ital>clause 10</ital>
                      </internal.reference>
                       (Indemnity)) to avoid inconsistencies and unintended liability. Issues of confidentiality, IP indemnity cover and privacy breaches are of particular importance in SaaS agreements. Customers will likely press for losses arising under these topics to fall outside the liability cap.
                    </paratext>
                  </para>
                  <para>
                    <paratext>
                      For further information, see 
                      <link anchor="a841877" href="w-004-8315" style="ACTLinkPLCtoPLC">
                        <ital>Practice note, Cloud computing agreements: Exclusions from liability caps</ital>
                      </link>
                       and 
                      <link anchor="a890102" href="w-006-3252" style="ACTLinkPLCtoPLC">
                        <ital>Standard clause, Limitation and exclusion of liability (commercial transactions): Drafting note, Liabilities that are not limited or excluded</ital>
                      </link>
                      .
                    </paratext>
                  </para>
                </division>
              </drafting.note>
              <para>
                <paratext>Nothing in this Agreement:</paratext>
              </para>
              <subclause2 id="a773297">
                <identifier>(a)</identifier>
                <para>
                  <paratext>is intended to have the effect of excluding, restricting or modifying the application of all or any of the provisions of Part 5-4 of the ACL, or the exercise of a right conferred by such a provision, or any liability of the Supplier in relation to a failure to comply with a guarantee that applies under Division 1 of Part 3-2 of the ACL to a supply of goods or services; or</paratext>
                </para>
              </subclause2>
              <subclause2 id="a569482">
                <identifier>(b)</identifier>
                <para>
                  <paratext>limits or excludes a party's liability:</paratext>
                </para>
                <subclause3 id="a401094">
                  <identifier>(i)</identifier>
                  <para>
                    <paratext>
                      for death or personal injury caused by its negligence or wilful misconduct or that of its [employees 
                      <bold>OR</bold>
                       employees, agents or contractors], as applicable;
                    </paratext>
                  </para>
                </subclause3>
                <subclause3 id="a387577">
                  <identifier>(ii)</identifier>
                  <para>
                    <paratext>
                      for fraud or fraudulent misrepresentation by it or its [employees 
                      <bold>OR</bold>
                       employees, agents or contractors], as applicable;
                    </paratext>
                  </para>
                </subclause3>
                <subclause3 id="a998712">
                  <identifier>(iii)</identifier>
                  <para>
                    <paratext>where liability cannot be limited or excluded by applicable law;</paratext>
                  </para>
                </subclause3>
                <subclause3 id="a929212">
                  <identifier>(iv)</identifier>
                  <para>
                    <paratext>[for repudiation or abandonment of this Agreement;]</paratext>
                  </para>
                </subclause3>
                <subclause3 id="a866242">
                  <identifier>(v)</identifier>
                  <para>
                    <paratext>
                      [for breach of confidentiality under 
                      <internal.reference refid="a469238">
                        <ital>clause 7</ital>
                      </internal.reference>
                      ;]
                    </paratext>
                  </para>
                </subclause3>
                <subclause3 id="a883703">
                  <identifier>(vi)</identifier>
                  <para>
                    <paratext>
                      [for breach of privacy and data protection obligations under 
                      <internal.reference refid="a677008">
                        <ital>clause 13</ital>
                      </internal.reference>
                      ;]
                    </paratext>
                  </para>
                </subclause3>
                <subclause3 id="a690932">
                  <identifier>(vii)</identifier>
                  <para>
                    <paratext>
                      [for infringement of a third party's Intellectual Property Rights, including under 
                      <internal.reference refid="a130808">
                        <ital>clause 10.1</ital>
                      </internal.reference>
                       and 
                      <internal.reference refid="a517742">
                        <ital>clause 10.2</ital>
                      </internal.reference>
                      ;]
                    </paratext>
                  </para>
                </subclause3>
                <subclause3 id="a107334">
                  <identifier>(viii)</identifier>
                  <para>
                    <paratext>[for breach of clause [NUMBER];] or</paratext>
                  </para>
                </subclause3>
                <subclause3 id="a113046">
                  <identifier>(ix)</identifier>
                  <para>
                    <paratext>[ANY OTHER LIABILITIES NOT LIMITED OR EXCLUDED].</paratext>
                  </para>
                </subclause3>
              </subclause2>
            </subclause1>
            <subclause1 id="a752310">
              <identifier>11.6</identifier>
              <head align="left" preservecase="true">
                <headtext>Proportionate liability</headtext>
              </head>
              <drafting.note id="a618714" jurisdiction="">
                <head align="left" preservecase="true">
                  <headtext>Proportionate liability</headtext>
                </head>
                <division id="a000043" level="1">
                  <para>
                    <paratext>
                      This type of clause is typically included in commercial agreements and its inclusion here should not be contentious. The principle behind this 
                      <internal.reference refid="a752310">
                        <ital>clause 11.6</ital>
                      </internal.reference>
                       is that the customer should not benefit to the extent that it has contributed to the loss or damage in respect of which it is seeking redress from the supplier. The customer may seek to make this clause mutual.
                    </paratext>
                  </para>
                </division>
              </drafting.note>
              <para>
                <paratext>
                  Notwithstanding anything else in this 
                  <internal.reference refid="a735017">
                    <ital>clause 11</ital>
                  </internal.reference>
                  , the Supplier's liability will be reduced to the extent the loss or damage is caused by or contributed to by the Customer, the Customer's employees, agents or contractors.
                </paratext>
              </para>
            </subclause1>
          </clause>
          <clause id="a818835">
            <identifier>12.</identifier>
            <head align="left" preservecase="true">
              <headtext>Term and termination</headtext>
            </head>
            <drafting.note id="a472886" jurisdiction="">
              <head align="left" preservecase="true">
                <headtext>Term and termination</headtext>
              </head>
              <division id="a000044" level="1">
                <para>
                  <paratext>
                    SaaS agreements are often entered into on a subscription basis for a specific term. Include optional 
                    <internal.reference refid="a292785">
                      <ital>clause 12.2</ital>
                    </internal.reference>
                     and 
                    <internal.reference refid="a484227">
                      <ital>clause 12.3</ital>
                    </internal.reference>
                     if the parties intend to include an automatic renewal provision.
                  </paratext>
                </para>
                <para>
                  <paratext>Automatic renewal typically is subject to one or both of the parties' right not to renew the agreement by giving the other party advance notice of non-renewal within a specified period before the expiration of the current term. The parties should tailor this provision to reflect their agreement on renewal, including:</paratext>
                </para>
                <list type="bulleted">
                  <list.item>
                    <para>
                      <paratext>The number and duration of the automatic renewal terms.</paratext>
                    </para>
                  </list.item>
                  <list.item>
                    <para>
                      <paratext>The advance notice period for providing notice of non-renewal. This typically should consider the parties' business needs including, for example, how long it may take the customer to secure a replacement or scale back dependence if the provider elects not to renew.</paratext>
                    </para>
                  </list.item>
                  <list.item>
                    <para>
                      <paratext>
                        Any fee increases and a process for the customer to accept or reject fee increases. In some cases, the parties may agree to limit the provider's fees for renewed terms to a certain rate (for example, the rate of increase of a specific 
                        <link href="w-014-9493" style="ACTLinkPLCtoPLC">
                          <bold>
                            <ital>Consumer Price Index</ital>
                          </bold>
                        </link>
                        ). Optional 
                        <internal.reference refid="a484227">
                          <ital>clause 12.3</ital>
                        </internal.reference>
                         provides for the Supplier to provide advance notice before automatic renewal.
                      </paratext>
                    </para>
                  </list.item>
                </list>
              </division>
            </drafting.note>
            <subclause1 id="a461055">
              <identifier>12.1</identifier>
              <head align="left" preservecase="true">
                <headtext>Term</headtext>
              </head>
              <para>
                <paratext>
                  The [initial] term of this Agreement begins on the Commencement Date and, unless terminated earlier pursuant to this Agreement's provisions, will continue in effect until [NUMBER] [year[s] 
                  <bold>OR</bold>
                   month[s]] from such date ([
                  <bold>Initial</bold>
                  ]
                  <bold> Term</bold>
                  ).
                </paratext>
              </para>
            </subclause1>
            <subclause1 id="a292785">
              <identifier>12.2</identifier>
              <head align="left" preservecase="true">
                <headtext>[Renewal</headtext>
              </head>
              <para>
                <paratext>
                  This Agreement will automatically renew for up to [NUMBER] additional successive [NUMBER]-[year 
                  <bold>OR</bold>
                   month] term[s] unless earlier terminated pursuant to this Agreement's express provisions or either party gives the other party Notice of non-renewal at least [NUMBER] days prior to the expiration of the then-current term (each a 
                  <bold>Renewal Term</bold>
                   and together with the Initial Term, the 
                  <bold>Term</bold>
                  ).]
                </paratext>
              </para>
            </subclause1>
            <subclause1 id="a484227">
              <identifier>12.3</identifier>
              <head align="left" preservecase="true">
                <headtext>[Fee increase</headtext>
              </head>
              <para>
                <paratext>The Supplier will provide Notice of any applicable increase to the Fees [NUMBER] days or more before the beginning of a Renewal Term.]</paratext>
              </para>
            </subclause1>
            <subclause1 id="a455188">
              <identifier>12.4</identifier>
              <head align="left" preservecase="true">
                <headtext>[Termination for convenience</headtext>
              </head>
              <drafting.note id="a892512" jurisdiction="">
                <head align="left" preservecase="true">
                  <headtext>Termination for convenience (optional)</headtext>
                </head>
                <division id="a000045" level="1">
                  <para>
                    <paratext>
                      Under optional 
                      <internal.reference refid="a455188">
                        <ital>clause 12.4</ital>
                      </internal.reference>
                      , the Customer has the right to terminate the agreement by giving a defined period of notice, for example, on one months' notice. Customers will typically require a right to terminate for convenience. However, SaaS agreements are often entered into on a subscription basis with automatic renewal and, if the subscription period is short, for example, monthly, then the need to terminate for convenience as distinct from non-renewal may not arise. There are likely to be limited circumstances in a commercial relationship governed by a SaaS agreement where the Supplier needs to terminate for convenience where it would not otherwise have a right to terminate for breach.
                    </paratext>
                  </para>
                  <para>
                    <paratext>
                      Optional 
                      <internal.reference refid="a455188">
                        <ital>clause 12.4</ital>
                      </internal.reference>
                       also includes optional wording at the end of the clause allowing the Supplier to impose a minimum term.
                    </paratext>
                  </para>
                  <para>
                    <paratext>
                      Optional 
                      <internal.reference refid="a744373">
                        <ital>clause 12.5</ital>
                      </internal.reference>
                       makes clear the Customer's obligations if it terminates for convenience in accordance with optional 
                      <internal.reference refid="a455188">
                        <ital>clause 12.4</ital>
                      </internal.reference>
                      .
                    </paratext>
                  </para>
                </division>
              </drafting.note>
              <para>
                <paratext>
                  Without affecting any other right or remedy available to it, the Customer may terminate this Agreement [or any part of it] on giving not less than [NUMBER] [months' 
                  <bold>OR</bold>
                   days'] Notice to the Supplier[, provided that a Notice to terminate served under this 
                  <internal.reference refid="a455188">
                    <ital>clause 12.4</ital>
                  </internal.reference>
                   does not expire before the [Initial Term 
                  <bold>OR</bold>
                   [NUMBER] months' from the Commencement Date]].
                </paratext>
              </para>
            </subclause1>
            <subclause1 id="a744373">
              <identifier>12.5</identifier>
              <head align="left" preservecase="true">
                <headtext>Consequences of termination for convenience</headtext>
              </head>
              <para>
                <paratext>
                  On termination by the Customer under the terms of 
                  <internal.reference refid="a455188">
                    <ital>clause 12.4</ital>
                  </internal.reference>
                  :
                </paratext>
              </para>
              <subclause2 id="a514968">
                <identifier>(a)</identifier>
                <para>
                  <paratext>all rights to use the Services and the Documentation granted to the Customer and any Authorised User under this Agreement will cease; and</paratext>
                </para>
              </subclause2>
              <subclause2 id="a599130">
                <identifier>(b)</identifier>
                <para>
                  <paratext>the Customer will immediately pay to the Supplier any sums due to the Supplier under this Agreement.]</paratext>
                </para>
              </subclause2>
            </subclause1>
            <subclause1 id="a150021">
              <identifier>12.6</identifier>
              <head align="left" preservecase="true">
                <headtext>Termination for default</headtext>
              </head>
              <para>
                <paratext>
                  Without affecting any other right or remedy available to it, a party [(
                  <bold>Non-Defaulting Party</bold>
                  )] may terminate this Agreement with immediate effect by giving notice to the other party (
                  <bold>Defaulting Party</bold>
                  ) if:
                </paratext>
              </para>
              <subclause2 id="a509198">
                <identifier>(a)</identifier>
                <para>
                  <paratext>
                    the Defaulting Party fails to pay any undisputed amount due under this Agreement on the due date for payment and remains in default not less than [14 
                    <bold>OR</bold>
                     [NUMBER]] days [after being notified in writing to make such payment];
                  </paratext>
                </para>
              </subclause2>
              <subclause2 id="a581360">
                <identifier>(b)</identifier>
                <para>
                  <paratext>
                    the Defaulting Party commits a material breach of any other term of this Agreement and that breach is irremediable or (if that breach is remediable) fails to remedy that breach within a period of [30 
                    <bold>OR</bold>
                     [NUMBER]] days after being notified in writing to do so;
                  </paratext>
                </para>
                <drafting.note id="a121391" jurisdiction="">
                  <head align="left" preservecase="true">
                    <headtext>Termination for material breach</headtext>
                  </head>
                  <division id="a000046" level="1">
                    <para>
                      <paratext>
                        <internal.reference refid="a581360">
                          <ital>Clause 12.6(b)</ital>
                        </internal.reference>
                         allows a party to terminate if there is a material breach of this Agreement. A definition of material breach may be included for certainty (see 
                        <link href="http://www.practicallaw.com/w-006-3255" style="ACTLinkURL">
                          <ital>Standard clause, Termination: Drafting note: Defining material breach (optional)</ital>
                        </link>
                        ).
                      </paratext>
                    </para>
                  </division>
                </drafting.note>
              </subclause2>
              <subclause2 id="a537935">
                <identifier>(c)</identifier>
                <para>
                  <paratext>the Defaulting Party repeatedly breaches any of the terms of this Agreement in such a manner to reasonably justify the opinion that its conduct is inconsistent with it having the intention or ability to give effect to the terms of this Agreement; or</paratext>
                </para>
                <drafting.note id="a442494" jurisdiction="">
                  <head align="left" preservecase="true">
                    <headtext>Termination for repeatedly breaching this Agreement</headtext>
                  </head>
                  <division id="a000047" level="1">
                    <para>
                      <paratext>
                        <internal.reference refid="a537935">
                          <ital>Clause 12.6(c)</ital>
                        </internal.reference>
                         gives the right to terminate for a series of minor persistent breaches amounting to a material breach of obligations that substantially deprive the Non-Defaulting Party of the benefit of this Agreement. This acknowledges that recurring breaches can cause considerable problems for the Non-Defaulting Party and is generally accepted in commercial agreements
                      </paratext>
                    </para>
                  </division>
                </drafting.note>
              </subclause2>
              <subclause2 id="a905935">
                <identifier>(d)</identifier>
                <para>
                  <paratext>an Insolvency Event occurs in relation to the Defaulting Party [(and the Corporations Act does not prevent the Non-Defaulting Party from terminating this Agreement because of that Insolvency Event)].</paratext>
                </para>
                <drafting.note id="a154779" jurisdiction="">
                  <head align="left" preservecase="true">
                    <headtext>Termination for insolvency and ipso facto</headtext>
                  </head>
                  <division id="a000048" level="1">
                    <para>
                      <paratext>
                        <internal.reference refid="a905935">
                          <ital>Clause 12.6(d)</ital>
                        </internal.reference>
                         is an 
                        <bold>
                          <ital>ipso facto clause </ital>
                        </bold>
                        and although it is retained in this document, note that enforcement is subject to a statutory stay on proceedings. For further information, see 
                        <link href="w-015-1511" style="ACTLinkPLCtoPLC">
                          <ital>Practice note, Ipso facto clauses: enforcing termination and other contractual rights against a company in external administration</ital>
                        </link>
                        .
                      </paratext>
                    </para>
                  </division>
                </drafting.note>
              </subclause2>
            </subclause1>
            <subclause1 id="a414207">
              <identifier>12.7</identifier>
              <head align="left" preservecase="true">
                <headtext>Survival of obligations</headtext>
              </head>
              <drafting.note id="a316337" jurisdiction="">
                <head align="left" preservecase="true">
                  <headtext>Survival of obligations</headtext>
                </head>
                <division id="a000049" level="1">
                  <para>
                    <paratext>
                      <internal.reference refid="a414207">
                        <ital>Clause 12.7</ital>
                      </internal.reference>
                       makes it clear that certain provisions of this Agreement will survive expiry or earlier termination of this Agreement, such as the provisions on confidentiality and limitations of liability.
                    </paratext>
                  </para>
                  <para>
                    <paratext>Delete the optional wording where the corresponding optional clause is not included in this Agreement.</paratext>
                  </para>
                  <para>
                    <paratext>
                      For further information, see 
                      <link href="w-001-8705" style="ACTLinkPLCtoPLC">
                        <ital>Standard clause, Survival</ital>
                      </link>
                      <ital> </ital>
                      and its associated drafting notes.
                    </paratext>
                  </para>
                </division>
              </drafting.note>
              <para>
                <paratext>The following clauses survive termination or expiry of this Agreement [together with any other term that by its nature is intended to do so]:</paratext>
              </para>
              <subclause2 id="a851514">
                <identifier>(a)</identifier>
                <para>
                  <paratext>clause 7 (Confidential Information);</paratext>
                </para>
              </subclause2>
              <subclause2 id="a753478">
                <identifier>(b)</identifier>
                <para>
                  <paratext>clause 8.3 [and clause 8.4] (Intellectual property);</paratext>
                </para>
              </subclause2>
              <subclause2 id="a931971">
                <identifier>(c)</identifier>
                <para>
                  <paratext>clause 10 (Indemnity);</paratext>
                </para>
              </subclause2>
              <subclause2 id="a817081">
                <identifier>(d)</identifier>
                <para>
                  <paratext>clause 11 (Limitation of liability);</paratext>
                </para>
              </subclause2>
              <subclause2 id="a976531">
                <identifier>(e)</identifier>
                <para>
                  <paratext>clause 12 (Term and termination);</paratext>
                </para>
              </subclause2>
              <subclause2 id="a729832">
                <identifier>(f)</identifier>
                <para>
                  <paratext>clause 13 (Privacy and data protection); [and]</paratext>
                </para>
              </subclause2>
              <subclause2 id="a974866">
                <identifier>(g)</identifier>
                <para>
                  <paratext>clause 15.16 (Governing law and jurisdiction)[; and</paratext>
                </para>
              </subclause2>
              <subclause2 id="a387776">
                <identifier>(h)</identifier>
                <para>
                  <paratext>Schedules [RELEVANT SCHEDULE NUMBERS]].</paratext>
                </para>
              </subclause2>
            </subclause1>
          </clause>
          <clause id="a677008">
            <identifier>13.</identifier>
            <head align="left" preservecase="true">
              <headtext>Privacy and data protection</headtext>
            </head>
            <subclause1 id="a389653">
              <identifier>13.1</identifier>
              <head align="left" preservecase="true">
                <headtext>Application of the Privacy Act</headtext>
              </head>
              <drafting.note id="a544819" jurisdiction="">
                <head align="left" preservecase="true">
                  <headtext>Application of the Privacy Act</headtext>
                </head>
                <division id="a000050" level="1">
                  <para>
                    <paratext>
                      The Privacy Act applies to 
                      <link href="w-005-8244" style="ACTLinkPLCtoPLC">
                        <bold>
                          <ital>APP entities</ital>
                        </bold>
                      </link>
                      <bold>
                        <ital> </ital>
                      </bold>
                      and regulates the collection, use and disclosure of personal information. The key obligations on entities that handle personal data are set out in the Australian Privacy Principles (
                      <bold>
                        <ital>APPs</ital>
                      </bold>
                      <ital>)</ital>
                       (see 
                      <link anchor="a865999" href="w-005-4063" style="ACTLinkPLCtoPLC">
                        <ital>Practice note, Key concepts in privacy law: APP entity</ital>
                      </link>
                      ).
                    </paratext>
                  </para>
                  <para>
                    <paratext>
                      The purpose of the drafting in 
                      <internal.reference refid="a131345">
                        <ital>clause 13.1(a)</ital>
                      </internal.reference>
                       and 
                      <internal.reference refid="a700496">
                        <ital>clause 13.1(b)</ital>
                      </internal.reference>
                       is to allow for a circumstance where a party is not an APP entity (for example, because their annual turnover is under $3 million, or another exception), but the parties require each other to be bound by the Privacy Act as if they were APP Entities. This will be necessary, for example, where the customer itself is an APP Entity, and requires the supplier to collect, hold, use and disclose 
                      <link href="w-003-9190" style="ACTLinkPLCtoPLC">
                        <bold>
                          <ital>personal information</ital>
                        </bold>
                      </link>
                       to the same legal standard of compliance with the Privacy Act, even though the supplier is not required to meet this standard as a matter of law because its annual turnover is under $3 million or because another statutory exemption applies.
                    </paratext>
                  </para>
                  <para>
                    <paratext>For further detailed guidance, see:</paratext>
                  </para>
                  <list type="bulleted">
                    <list.item>
                      <para>
                        <paratext>
                          <link anchor="a264986" href="w-004-0353" style="ACTLinkPLCtoPLC">
                            <ital>Practice note, Cloud computing overview: Privacy issues in cloud computing</ital>
                          </link>
                          <ital>.</ital>
                        </paratext>
                      </para>
                    </list.item>
                    <list.item>
                      <para>
                        <paratext>
                          <link href="w-032-5439" style="ACTLinkPLCtoPLC">
                            <ital>Toolkit, Data protection and privacy</ital>
                          </link>
                          <ital>.</ital>
                        </paratext>
                      </para>
                    </list.item>
                    <list.item>
                      <para>
                        <paratext>
                          <link href="w-011-8669" style="ACTLinkPLCtoPLC">
                            <ital>Standard clause, Privacy</ital>
                          </link>
                          .
                        </paratext>
                      </para>
                    </list.item>
                  </list>
                </division>
              </drafting.note>
              <subclause2 id="a131345">
                <identifier>(a)</identifier>
                <para>
                  <paratext>
                    The Supplier warrants that [it complies with and will continue to comply with the Privacy Act and all other applicable privacy laws 
                    <bold>OR</bold>
                     for the purposes of this Agreement, it agrees it is an APP Entity and complies with and will continue to comply with the Privacy Act and all other applicable privacy laws].
                  </paratext>
                </para>
              </subclause2>
              <subclause2 id="a700496">
                <identifier>(b)</identifier>
                <para>
                  <paratext>
                    The Customer warrants that [it complies with and will continue to comply with the Privacy Act and all other applicable privacy laws 
                    <bold>OR</bold>
                     for the purposes of this Agreement, it agrees it is an APP Entity and complies with and will continue to comply with the Privacy Act and all other applicable privacy laws].
                  </paratext>
                </para>
              </subclause2>
            </subclause1>
            <subclause1 id="a866116">
              <identifier>13.2</identifier>
              <head align="left" preservecase="true">
                <headtext>Supplier's privacy obligations</headtext>
              </head>
            </subclause1>
            <subclause1 id="a625447">
              <para>
                <paratext>If the Supplier collects, holds, uses or discloses Personal Information in the course of or relating to this Agreement, the Supplier must:</paratext>
              </para>
              <subclause2 id="a202043">
                <identifier>(a)</identifier>
                <para>
                  <paratext>handle all Personal Information in accordance with the Privacy Policy;</paratext>
                </para>
              </subclause2>
              <subclause2 id="a902977">
                <identifier>(b)</identifier>
                <para>
                  <paratext>only use Personal Information for the purpose of performing its rights and obligations under this Agreement;</paratext>
                </para>
              </subclause2>
              <subclause2 id="a810255">
                <identifier>(c)</identifier>
                <para>
                  <paratext>not disclose Personal Information to any third party (including any contractor and subcontractor) without the Customer's prior written consent or as required by law; and</paratext>
                </para>
              </subclause2>
              <subclause2 id="a375599">
                <identifier>(d)</identifier>
                <para>
                  <paratext>not disclose Personal Information to a person not located in Australia [without the express written consent of the Customer].</paratext>
                </para>
              </subclause2>
            </subclause1>
            <subclause1 id="a505795">
              <identifier>13.3</identifier>
              <head align="left" preservecase="true">
                <headtext>Customer's privacy obligations</headtext>
              </head>
            </subclause1>
            <subclause1 id="a458897">
              <para>
                <paratext>The Customer warrants that it:</paratext>
              </para>
              <subclause2 id="a618711">
                <identifier>(a)</identifier>
                <para>
                  <paratext>will not provide any Sensitive Information to the Supplier unless that information is necessary for the Supplier to perform its obligations under this Agreement and then only with the Supplier's specific written consent; and</paratext>
                </para>
              </subclause2>
              <subclause2 id="a787019">
                <identifier>(b)</identifier>
                <para>
                  <paratext>has:</paratext>
                </para>
                <subclause3 id="a199099">
                  <identifier>(i)</identifier>
                  <para>
                    <paratext>made all necessary notifications required by APP 5, on behalf of itself and the Supplier to;</paratext>
                  </para>
                </subclause3>
                <subclause3 id="a307626">
                  <identifier>(ii)</identifier>
                  <para>
                    <paratext>obtained all necessary consents required by APP 6 from; and</paratext>
                  </para>
                </subclause3>
                <subclause3 id="a395181">
                  <identifier>(iii)</identifier>
                  <para>
                    <paratext>obtained consent as required by APP 8.2(b), on behalf of itself and the Supplier from,</paratext>
                  </para>
                </subclause3>
                <para>
                  <paratext>the individuals whose Personal Information it is disclosing to the Supplier in the course of this Agreement to enable the Supplier to lawfully use the Personal Information and perform its obligations in accordance with this Agreement.</paratext>
                </para>
              </subclause2>
            </subclause1>
            <subclause1 id="a988477">
              <identifier>13.4</identifier>
              <head align="left" preservecase="true">
                <headtext>Data Incident and Data Breach Investigation</headtext>
              </head>
            </subclause1>
            <subclause1 id="a880783">
              <para>
                <paratext>If the Supplier becomes aware, or there are reasonable grounds to suspect, that a Data Incident has occurred, the Supplier must:</paratext>
              </para>
              <subclause2 id="a519460">
                <identifier>(a)</identifier>
                <para>
                  <paratext>immediately take reasonable steps to, and bear any costs of, containing and resolving the Data Incident and preventing any further serious harm to affected individuals (for the avoidance of doubt, this obligation is ongoing);</paratext>
                </para>
              </subclause2>
              <subclause2 id="a891895">
                <identifier>(b)</identifier>
                <para>
                  <paratext>immediately notify the Customer in writing stating:</paratext>
                </para>
                <subclause3 id="a806216">
                  <identifier>(i)</identifier>
                  <para>
                    <paratext>the nature and details of the Data Incident;</paratext>
                  </para>
                </subclause3>
                <subclause3 id="a977320">
                  <identifier>(ii)</identifier>
                  <para>
                    <paratext>the specific Personal Information affected;</paratext>
                  </para>
                </subclause3>
                <subclause3 id="a491277">
                  <identifier>(iii)</identifier>
                  <para>
                    <paratext>
                      the actions taken by the Supplier including those required at 
                      <internal.reference refid="a519460">
                        <ital>clause 13.4(a)</ital>
                      </internal.reference>
                      ; and
                    </paratext>
                  </para>
                </subclause3>
                <subclause3 id="a523748">
                  <identifier>(iv)</identifier>
                  <para>
                    <paratext>the recommended next steps for each of the parties and the affected individuals;</paratext>
                  </para>
                </subclause3>
              </subclause2>
              <subclause2 id="a569496">
                <identifier>(c)</identifier>
                <para>
                  <paratext>
                    identify whether the Data Incident is an Eligible Data Breach by conducting a thorough investigation of the Data Incident within 20 days of becoming aware of the Data Incident (
                    <bold>Data Breach Investigation</bold>
                    );
                  </paratext>
                </para>
              </subclause2>
              <subclause2 id="a839416">
                <identifier>(d)</identifier>
                <para>
                  <paratext>
                    provide a full, unedited and unredacted copy of the report of the Data Breach Investigation in 
                    <internal.reference refid="a569496">
                      <ital>clause 13.4(c)</ital>
                    </internal.reference>
                     to the Customer on completion (for the avoidance of doubt, the Supplier agrees not to withhold any information from the report and expressly waives its right to any claim of privilege (including legal professional privilege) to any part of report); and
                  </paratext>
                </para>
              </subclause2>
              <subclause2 id="a353855">
                <identifier>(e)</identifier>
                <para>
                  <paratext>engage in regular open and good faith discussions with the Customer regarding:</paratext>
                </para>
                <subclause3 id="a391995">
                  <identifier>(i)</identifier>
                  <para>
                    <paratext>the conduct and outcomes of the Data Breach Investigation;</paratext>
                  </para>
                </subclause3>
                <subclause3 id="a935227">
                  <identifier>(ii)</identifier>
                  <para>
                    <paratext>
                      its ongoing actions to contain and resolve the Data Incident and prevent any further serious harm to affected individuals in 
                      <internal.reference refid="a519460">
                        <ital>clause 13.4(a)</ital>
                      </internal.reference>
                      ;
                    </paratext>
                  </para>
                </subclause3>
                <subclause3 id="a642181">
                  <identifier>(iii)</identifier>
                  <para>
                    <paratext>in the case of an Eligible Data Breach, whether the Customer or the Supplier will make the relevant notifications under the Privacy Act and whether and to what extent any public or media statements will be made (in each case, the Customer's decision to be final); and</paratext>
                  </para>
                </subclause3>
                <subclause3 id="a731222">
                  <identifier>(iv)</identifier>
                  <para>
                    <paratext>
                      where the Supplier is making the relevant notifications at 
                      <internal.reference refid="a642181">
                        <ital>clause 13.4(e)(iii)</ital>
                      </internal.reference>
                      , the Supplier must subject the notifications to the Customer for approval before they are made (such approval to be given promptly and not to be unreasonably withheld).
                    </paratext>
                  </para>
                </subclause3>
              </subclause2>
            </subclause1>
            <subclause1 id="a317918">
              <identifier>13.5</identifier>
              <head align="left" preservecase="true">
                <headtext>Data security</headtext>
              </head>
              <drafting.note id="a541094" jurisdiction="">
                <head align="left" preservecase="true">
                  <headtext>Data security</headtext>
                </head>
                <division id="a000051" level="1">
                  <para>
                    <paratext>Data security is a key concern of SaaS customers when personal information or sensitive business information is being processed by or through the SaaS offering. In this case, customers typically insist that the SaaS supplier have adequate security controls to:</paratext>
                  </para>
                  <list type="bulleted">
                    <list.item>
                      <para>
                        <paratext>Ensure the customer complies with its obligations to protect confidential and personal information under the customer's own privacy and security policies and applicable law.</paratext>
                      </para>
                    </list.item>
                    <list.item>
                      <para>
                        <paratext>Protect the customer's and provider's systems from being infected with viruses or other malicious code.</paratext>
                      </para>
                    </list.item>
                    <list.item>
                      <para>
                        <paratext>Prevent the loss, destruction or corruption of, or unauthorised access to, the customer's data.</paratext>
                      </para>
                    </list.item>
                  </list>
                  <para>
                    <paratext>To be commercially viable, a SaaS supplier generally must be prepared to assure prospective customers that they will be informed of and have ultimate control over the use and disclosure of personal and other confidential information they process or store when using the supplier's services.</paratext>
                  </para>
                  <para>
                    <paratext>
                      APP entities are required by law to take reasonable steps to protect the personal information they hold from misuse, interference and loss, and from unauthorised access, modification or disclosure. The OAIC has published guidelines on securing personal information (
                      <link href="https://www.oaic.gov.au/privacy/privacy-guidance-for-organisations-and-government-agencies/handling-personal-information/guide-to-securing-personal-information" style="ACTLinkURL">
                        <ital>OAIC: Guide to securing personal information</ital>
                      </link>
                      ). Where suppliers hold personal information provided by the customer, suppliers must be prepared to assure customers that appropriate technical and organisational measures have been implemented by the supplier to protect personal information (for further information, see 
                      <link anchor="a146496" href="http://www.practicallaw.com/w-005-3895" style="ACTLinkURL">
                        <ital>Practice note, Australian Privacy Principles: APP 11: Security of personal information</ital>
                      </link>
                      ).
                    </paratext>
                  </para>
                  <para>
                    <paratext>
                      <internal.reference refid="a317918">
                        <ital>Clause 13.5</ital>
                      </internal.reference>
                       provides two alternatives both by reference to the supplier's data security policy or other security statements that are typically provided on a SaaS supplier's website. The first option is quite minimal and the second option provides a more fulsome statement intended to be reassuring to prospective customers but needs to be carefully considered against the supplier's actual security practices.
                    </paratext>
                  </para>
                  <para>
                    <paratext>For further detailed guidance, see Practice notes:</paratext>
                  </para>
                  <list type="bulleted">
                    <list.item>
                      <para>
                        <paratext>
                          <link anchor="a719864" href="w-004-0353" style="ACTLinkPLCtoPLC">
                            <ital>Cloud computing overview: Information security, accreditation, certification and compliance</ital>
                          </link>
                          <ital>.</ital>
                        </paratext>
                      </para>
                    </list.item>
                    <list.item>
                      <para>
                        <paratext>
                          <link anchor="a572578" href="w-004-8315" style="ACTLinkPLCtoPLC">
                            <ital>Cloud computing agreements: Privacy and information security</ital>
                          </link>
                          <ital>.</ital>
                        </paratext>
                      </para>
                    </list.item>
                  </list>
                </division>
              </drafting.note>
            </subclause1>
            <subclause1 id="a256548">
              <para>
                <paratext>
                  The Supplier [will employ the Security Measures in providing the Services to the Customer 
                  <bold>OR </bold>
                  has implemented and will maintain an information security program that uses appropriate [physical, technical and organisational] measures designed to protect Customer Data from unauthorised access, destruction, use, modification or disclosure, as described in its Security Measures].
                </paratext>
              </para>
            </subclause1>
          </clause>
          <clause id="a165534">
            <identifier>14.</identifier>
            <head align="left" preservecase="true">
              <headtext>Notices</headtext>
            </head>
            <drafting.note id="a200439" jurisdiction="">
              <head align="left" preservecase="true">
                <headtext>Notices</headtext>
              </head>
              <division id="a000052" level="1">
                <para>
                  <paratext>
                    This 
                    <internal.reference refid="a165534">
                      <ital>clause 14</ital>
                    </internal.reference>
                    :
                  </paratext>
                </para>
                <list type="bulleted">
                  <list.item>
                    <para>
                      <paratext>Sets out the various methods for parties to give notice to one another.</paratext>
                    </para>
                  </list.item>
                  <list.item>
                    <para>
                      <paratext>Specifies when notice is taken to be given and received, depending on the method used by a party.</paratext>
                    </para>
                  </list.item>
                  <list.item>
                    <para>
                      <paratext>Identifies the person to whom notices should be addressed for each party to the contract.</paratext>
                    </para>
                  </list.item>
                </list>
                <para>
                  <paratext>It is important to include a detailed and prescriptive notice clause because it provides certainty for the parties on how and when notice is provided. Giving proper notice can be critical where a party wishes to exercise certain rights under the agreement; for example, where a party wants to give notice of a claim against a warranty.</paratext>
                </para>
                <para>
                  <paratext>
                    For more detailed information and drafting notes relating to this clause, see 
                    <link href="w-001-1404" style="ACTLinkPLCtoPLC">
                      <ital>Standard clause, Notices</ital>
                    </link>
                    .
                  </paratext>
                </para>
              </division>
            </drafting.note>
            <subclause1 id="a452006">
              <identifier>14.1</identifier>
              <head align="left" preservecase="true">
                <headtext>Form of Notice</headtext>
              </head>
              <para>
                <paratext>
                  A notice or other communication to a party under this Agreement (
                  <bold>Notice</bold>
                  ) must be:
                </paratext>
              </para>
              <subclause2 id="a809555">
                <identifier>(a)</identifier>
                <para>
                  <paratext>in writing and in English;</paratext>
                </para>
              </subclause2>
              <subclause2 id="a655724">
                <identifier>(b)</identifier>
                <para>
                  <paratext>signed by the sender or a person authorised to sign on behalf of the sender;</paratext>
                </para>
              </subclause2>
              <subclause2 id="a924382">
                <identifier>(c)</identifier>
                <para>
                  <paratext>addressed to that party in accordance with the details in the table below (or any alternative details given in writing to the sending party):</paratext>
                </para>
                <para>
                  <paratext>
                    <table frame="all" pgwide="1">
                      <tgroup cols="4">
                        <colspec colname="1" colnum="1" colwidth="24"/>
                        <colspec colname="2" colnum="2" colwidth="24"/>
                        <colspec colname="3" colnum="3" colwidth="25"/>
                        <colspec colname="4" colnum="4" colwidth="25"/>
                        <tbody>
                          <row>
                            <entry valign="top">
                              <para align="left">
                                <paratext>
                                  <bold>Party</bold>
                                </paratext>
                              </para>
                            </entry>
                            <entry valign="top">
                              <para align="left">
                                <paratext>
                                  <bold>Address</bold>
                                </paratext>
                              </para>
                            </entry>
                            <entry valign="top">
                              <para align="left">
                                <paratext>
                                  <bold>Attention</bold>
                                </paratext>
                              </para>
                            </entry>
                            <entry valign="top">
                              <para align="left">
                                <paratext>
                                  <bold>[Email]</bold>
                                </paratext>
                              </para>
                            </entry>
                          </row>
                          <row>
                            <entry valign="top">
                              <para align="left">
                                <paratext>Supplier</paratext>
                              </para>
                            </entry>
                            <entry valign="top">
                              <para align="left">
                                <paratext>[ADDRESS]</paratext>
                              </para>
                            </entry>
                            <entry valign="top">
                              <para align="left">
                                <paratext>[NAME OF CONTACT]</paratext>
                              </para>
                            </entry>
                            <entry valign="top">
                              <para align="left">
                                <paratext>[EMAIL ADDRESS]</paratext>
                              </para>
                            </entry>
                          </row>
                          <row>
                            <entry valign="top">
                              <para align="left">
                                <paratext>Customer</paratext>
                              </para>
                            </entry>
                            <entry valign="top">
                              <para align="left">
                                <paratext>[ADDRESS]</paratext>
                              </para>
                            </entry>
                            <entry valign="top">
                              <para align="left">
                                <paratext>[NAME OF CONTACT]</paratext>
                              </para>
                            </entry>
                            <entry valign="top">
                              <para align="left">
                                <paratext>[EMAIL ADDRESS]</paratext>
                              </para>
                            </entry>
                          </row>
                        </tbody>
                      </tgroup>
                    </table>
                  </paratext>
                </para>
              </subclause2>
            </subclause1>
            <subclause1 id="a627789">
              <identifier>14.2</identifier>
              <head align="left" preservecase="true">
                <headtext>How Notice is given and received</headtext>
              </head>
              <drafting.note id="a318223" jurisdiction="">
                <head align="left" preservecase="true">
                  <headtext>How Notice is given and received</headtext>
                </head>
                <division id="a000053" level="1">
                  <para>
                    <paratext>
                      An agreement may provide for the option of giving notice by email or other electronic methods. Parties should consider whether it is suitable to include electronic methods for giving notice and tailor the notice clause appropriately for each agreement. This 
                      <internal.reference refid="a627789">
                        <ital>clause 14.2</ital>
                      </internal.reference>
                       is drafted to provide clarity regarding the time at which a notice sent by email will be regarded as having been given and received. You should resist any amendments that detract from this clarity. If the agreement does not specify whether or not notices can be sent via email, the provisions in the various state and territory Electronic Transactions Acts may apply to deem that notice sent by email will be received when it reaches the recipient's email server (see, for example, 
                      <link href="https://anzlaw.thomsonreuters.com/Link/Document/FullText?refType=U5&amp;amp;docFamilyGuid=I186cc8abf93711e8816b84e37794ea63&amp;amp;pubNum=1100190&amp;amp;originationContext=document&amp;amp;transitionType=PLDocumentLink&amp;amp;contextData=%28sc.Search%29&amp;amp;comp=plcau" style="ACTLinkURL">
                        <ital>section 13A, Electronic Transactions Act 2000 (NSW)</ital>
                      </link>
                      ).
                    </paratext>
                  </para>
                  <para>
                    <paratext>
                      For optional drafting for use where the parties may wish to specifically exclude certain communications from being given by electronic means, as well as additional detailed drafting notes on the use of electronic communications, see 
                      <link anchor="a691599" href="w-001-1404" style="ACTLinkPLCtoPLC">
                        <ital>Standard clause, Notices: Drafting note: How notice given and received</ital>
                      </link>
                      .
                    </paratext>
                  </para>
                </division>
              </drafting.note>
              <subclause2 id="a132411">
                <identifier>(a)</identifier>
                <para>
                  <paratext>A Notice must be given by one of the methods set out in the table below.</paratext>
                </para>
              </subclause2>
              <subclause2 id="a138910">
                <identifier>(b)</identifier>
                <para>
                  <paratext>
                    A Notice is regarded as given and received at the time set out in the table below. However, if this means the Notice would be regarded as given and received outside the period between 9.00 am and 5.00 pm (addressee's time) on a Business Day (
                    <bold>Business Hours Period</bold>
                    ), then the Notice will instead be regarded as given and received at the start of the following Business Hours Period.
                  </paratext>
                </para>
                <para>
                  <paratext>
                    <table frame="all" pgwide="1">
                      <tgroup cols="2">
                        <colspec colname="1" colnum="1" colwidth="49"/>
                        <colspec colname="2" colnum="2" colwidth="50"/>
                        <tbody>
                          <row>
                            <entry valign="top">
                              <para align="left">
                                <paratext>
                                  <bold>Notice delivery method</bold>
                                </paratext>
                              </para>
                            </entry>
                            <entry valign="top">
                              <para align="left">
                                <paratext>
                                  <bold>When Notice is regarded as given and received</bold>
                                </paratext>
                              </para>
                            </entry>
                          </row>
                          <row>
                            <entry valign="top">
                              <para align="left">
                                <paratext>By hand to the nominated address</paratext>
                              </para>
                            </entry>
                            <entry valign="top">
                              <para align="left">
                                <paratext>When delivered to the nominated address.</paratext>
                              </para>
                            </entry>
                          </row>
                          <row>
                            <entry valign="top">
                              <para align="left">
                                <paratext>By pre-paid post to the nominated address</paratext>
                              </para>
                            </entry>
                            <entry valign="top">
                              <para align="left">
                                <paratext>At 9.00 am (addressee's time) on the second Business Day after the date of posting.</paratext>
                              </para>
                            </entry>
                          </row>
                          <row>
                            <entry valign="top">
                              <para align="left">
                                <paratext>[By email to the nominated email address]</paratext>
                              </para>
                            </entry>
                            <entry valign="top">
                              <para align="left">
                                <paratext>
                                  [[Five 
                                  <bold>OR</bold>
                                   [NUMBER]] hours after the time sent (as recorded on the device from which the sender sent the email) unless the sender receives an automated message that the email has not been delivered.]
                                </paratext>
                              </para>
                            </entry>
                          </row>
                        </tbody>
                      </tgroup>
                    </table>
                  </paratext>
                </para>
              </subclause2>
            </subclause1>
          </clause>
          <clause id="a870930">
            <identifier>15.</identifier>
            <head align="left" preservecase="true">
              <headtext>General</headtext>
            </head>
            <drafting.note id="a649566" jurisdiction="">
              <head align="left" preservecase="true">
                <headtext>General</headtext>
              </head>
              <division id="a000054" level="1">
                <para>
                  <paratext>
                    This 
                    <internal.reference refid="a870930">
                      <ital>clause 15</ital>
                    </internal.reference>
                     contains provisions that address general principles of contractual interpretation and construction.
                  </paratext>
                </para>
              </division>
            </drafting.note>
            <subclause1 id="a206723">
              <identifier>15.1</identifier>
              <head align="left" preservecase="true">
                <headtext>Variation</headtext>
              </head>
              <drafting.note id="a249902" jurisdiction="">
                <head align="left" preservecase="true">
                  <headtext>Variation</headtext>
                </head>
                <division id="a000055" level="1">
                  <para>
                    <paratext>
                      This 
                      <internal.reference refid="a206723">
                        <ital>clause 15.1</ital>
                      </internal.reference>
                       sets out the procedure parties must follow to vary their agreement.
                    </paratext>
                  </para>
                  <para>
                    <paratext>
                      The presence of a variation clause in an agreement does not change the requirements for valid variation of an agreement. In particular, 
                      <link href="w-005-8552" style="ACTLinkPLCtoPLC">
                        <bold>
                          <ital>consideration</ital>
                        </bold>
                      </link>
                       for the variation will still need to be given and received by each party unless the variation is made by 
                      <link href="w-005-8807" style="ACTLinkPLCtoPLC">
                        <bold>
                          <ital>deed</ital>
                        </bold>
                      </link>
                      . For this reason, it is common for variations to be effected by the parties entering into a deed of variation. For a standard form deed of variation, see 
                      <link href="w-003-9201" style="ACTLinkPLCtoPLC">
                        <ital>Standard document, Deed of variation</ital>
                      </link>
                      .
                    </paratext>
                  </para>
                  <para>
                    <paratext>
                      For more information, see the drafting notes in 
                      <link href="w-001-1656" style="ACTLinkPLCtoPLC">
                        <ital>Standard clause, Variation</ital>
                      </link>
                      , and 
                      <link href="w-005-0651" style="ACTLinkPLCtoPLC">
                        <ital>Practice note, Variation of contract</ital>
                      </link>
                      .
                    </paratext>
                  </para>
                </division>
              </drafting.note>
              <para>
                <paratext>An amendment or variation of any term of this Agreement must be in writing and signed by each party.</paratext>
              </para>
            </subclause1>
            <subclause1 id="a818295">
              <identifier>15.2</identifier>
              <head align="left" preservecase="true">
                <headtext>No waiver</headtext>
              </head>
              <drafting.note id="a189651" jurisdiction="">
                <head align="left" preservecase="true">
                  <headtext>No waiver</headtext>
                </head>
                <division id="a000056" level="1">
                  <para>
                    <paratext>Waiver involves one party to an agreement voluntarily or intentionally giving up a right, claim or privilege that arises from that agreement. A waiver of a party's right under an agreement will often result in another party being released from performing an obligation under that agreement.</paratext>
                  </para>
                  <para>
                    <paratext>
                      This 
                      <internal.reference refid="a818295">
                        <ital>clause 15.2</ital>
                      </internal.reference>
                       is intended to guard against an unintended waiver of a party's rights under or in connection with an agreement; for example, where one party's words or conduct indicate that it has given up a right under the agreement to which it would otherwise be entitled.
                    </paratext>
                  </para>
                  <para>
                    <paratext>Even if you include this clause, you should ensure that your client does not unintentionally waive its rights under the agreement. There is also some doubt as to the effectiveness of no waiver clauses.</paratext>
                  </para>
                  <para>
                    <paratext>
                      For more information, see the drafting notes in 
                      <link href="w-001-1661" style="ACTLinkPLCtoPLC">
                        <ital>Standard clause, No waiver</ital>
                      </link>
                      .
                    </paratext>
                  </para>
                </division>
              </drafting.note>
              <subclause2 id="a813679">
                <identifier>(a)</identifier>
                <para>
                  <paratext>No party may rely on the words or conduct of any other party as being a waiver of any right, power or remedy arising under or in connection with this Agreement unless the other party or parties expressly grant a waiver of the right, power or remedy. Any waiver must be in writing, signed by the party granting the waiver and is only effective to the extent set out in that waiver.</paratext>
                </para>
              </subclause2>
              <subclause2 id="a601623">
                <identifier>(b)</identifier>
                <para>
                  <paratext>
                    Words or conduct referred to in 
                    <internal.reference refid="a813679">
                      <ital>clause 15.2(a)</ital>
                    </internal.reference>
                     include any delay in exercising a right, any election between rights and remedies and any conduct that might otherwise give rise to an estoppel.
                  </paratext>
                </para>
              </subclause2>
            </subclause1>
            <subclause1 id="a902042">
              <identifier>15.3</identifier>
              <head align="left" preservecase="true">
                <headtext>Assignment, novation and other dealings</headtext>
              </head>
              <drafting.note id="a834150" jurisdiction="">
                <head align="left" preservecase="true">
                  <headtext>Assignment, novation and other dealings</headtext>
                </head>
                <division id="a000057" level="1">
                  <para>
                    <paratext>
                      This 
                      <internal.reference refid="a902042">
                        <ital>clause 15.3</ital>
                      </internal.reference>
                       is present in most commercial agreements to provide the parties with the flexibility to 
                      <link href="w-003-9183" style="ACTLinkPLCtoPLC">
                        <bold>
                          <ital>assign</ital>
                        </bold>
                      </link>
                       their rights under the agreement, while placing some restriction on the method of 
                      <link href="w-003-9183" style="ACTLinkPLCtoPLC">
                        <bold>
                          <ital>assignment</ital>
                        </bold>
                      </link>
                       by requiring consent. Consider whether including a clause permitting assignment with consent is appropriate for the transaction.
                    </paratext>
                  </para>
                  <para>
                    <paratext>
                      For more information, see the drafting notes in 
                      <link href="w-001-1658" style="ACTLinkPLCtoPLC">
                        <ital>Standard clause, Assignment</ital>
                      </link>
                      , and 
                      <link href="w-004-7385" style="ACTLinkPLCtoPLC">
                        <ital>Practice note, Assignment of contractual rights</ital>
                      </link>
                      .
                    </paratext>
                  </para>
                  <para>
                    <paratext>
                      There are also different requirements for the transfer of obligations (as compared with the transfer of rights) between parties to an agreement. For more information, see 
                      <link href="w-004-9932" style="ACTLinkPLCtoPLC">
                        <ital>Practice note, Novation of contracts</ital>
                      </link>
                       and the drafting notes in 
                      <link href="w-001-1658" style="ACTLinkPLCtoPLC">
                        <ital>Standard clause, Assignment</ital>
                      </link>
                      .
                    </paratext>
                  </para>
                </division>
              </drafting.note>
              <subclause2 id="a311851">
                <identifier>(a)</identifier>
                <para>
                  <paratext>
                    [Except where this Agreement provides otherwise, any 
                    <bold>OR</bold>
                     Any] rights of a party that arise out of or under this Agreement are not assignable by the party without the prior written consent of the other parties[, whose consent must not be unreasonably withheld].
                  </paratext>
                </para>
              </subclause2>
              <subclause2 id="a422084">
                <identifier>(b)</identifier>
                <para>
                  <paratext>
                    A breach of 
                    <internal.reference refid="a311851">
                      <ital>clause 15.3(a)</ital>
                    </internal.reference>
                     by a party entitles the other parties to terminate this Agreement.
                  </paratext>
                </para>
              </subclause2>
              <subclause2 id="a473609">
                <identifier>(c)</identifier>
                <para>
                  <paratext>
                    <internal.reference refid="a422084">
                      <ital>Clause 15.3(b)</ital>
                    </internal.reference>
                     does not affect the construction of any other part of this Agreement.
                  </paratext>
                </para>
              </subclause2>
            </subclause1>
            <subclause1 id="a585762">
              <identifier>15.4</identifier>
              <head align="left" preservecase="true">
                <headtext>Counterparts</headtext>
              </head>
              <drafting.note id="a512368" jurisdiction="">
                <head align="left" preservecase="true">
                  <headtext>Counterparts</headtext>
                </head>
                <division id="a000058" level="1">
                  <para>
                    <paratext>
                      This 
                      <internal.reference refid="a585762">
                        <ital>clause 15.4</ital>
                      </internal.reference>
                       allows the parties to execute separate copies of the agreement and makes it clear that the parties intend for the agreement to be enforceable once all counterparts have been signed.
                    </paratext>
                  </para>
                  <para>
                    <paratext>There is no general rule under Australian law that agreements must be signed by the parties to be enforceable. However, it is standard practice to have all parties to an agreement sign it. This provides clear evidence that they agree to be bound by the agreement in the form that has been signed.</paratext>
                  </para>
                  <para>
                    <paratext>An agreement that is executed in counterpart but that does not include this clause may still be enforceable if the parties intended this, however, it will depend on the circumstances. In this situation, there is also an increased risk that a party might claim that the agreement does not bind them or is unenforceable because it was not properly executed.</paratext>
                  </para>
                  <para>
                    <paratext>A counterparts clause is usually included to account for circumstances where it will be impractical to require all parties to sign the same physical document. For example:</paratext>
                  </para>
                  <list type="bulleted">
                    <list.item>
                      <para>
                        <paratext>Remote signings, cross-border or complex transactions involving multiple parties, where not all the necessary signatories will be physically present at signing.</paratext>
                      </para>
                    </list.item>
                    <list.item>
                      <para>
                        <paratext>Any other transaction where electronic or virtual signing is desirable, where there will be no single copy of the transaction document that all the parties have signed.</paratext>
                      </para>
                    </list.item>
                  </list>
                  <para>
                    <paratext>Counterparts clauses are also useful where the parties need to be sure that each copy is recognised as an original. Parties may be required to have more than one original copy of the document for tax, regulatory or company administration purposes, among others.</paratext>
                  </para>
                  <para>
                    <paratext>
                      For more information on counterpart clauses, remote and virtual signing and electronic signatures, see the drafting notes in 
                      <link href="w-001-3448" style="ACTLinkPLCtoPLC">
                        <ital>Standard clause, Counterparts</ital>
                      </link>
                      , and 
                      <link href="w-002-5372" style="ACTLinkPLCtoPLC">
                        <ital>Toolkit, A toolkit for execution of deeds and documents</ital>
                      </link>
                      .
                    </paratext>
                  </para>
                </division>
              </drafting.note>
              <subclause2 id="a191038">
                <identifier>(a)</identifier>
                <para>
                  <paratext>This Agreement may be executed in any number of counterparts. Each counterpart is an original, and is evidence of the intention of each party who has executed that counterpart to be bound by its terms. All counterparts taken together constitute one instrument.</paratext>
                </para>
              </subclause2>
              <subclause2 id="a206407">
                <identifier>(b)</identifier>
                <para>
                  <paratext>The parties agree that:</paratext>
                </para>
                <subclause3 id="a150827">
                  <identifier>(i)</identifier>
                  <para>
                    <paratext>
                      transmission by or on behalf of any party to the other parties of [a complete executed counterpart of this Agreement (but, for the avoidance of doubt, an isolated signature page will not be sufficient for this purpose) 
                      <bold>OR </bold>
                      the executed signature page of a counterpart of this Agreement] by email (attached in PDF, JPEG or other agreed format) [or other form of electronic file sharing and distribution that may be agreed between the parties as being appropriately reliable for the purpose of evidencing due execution], will constitute exchange of an executed counterpart of this Agreement;
                    </paratext>
                  </para>
                </subclause3>
                <subclause3 id="a102237">
                  <identifier>(ii)</identifier>
                  <para>
                    <paratext>
                      where one of the methods of exchange in 
                      <internal.reference refid="a150827">
                        <ital>clause 15.4(b)(i)</ital>
                      </internal.reference>
                       is used, the transmitting party must provide the other parties with an original of the relevant executed counterpart as soon as reasonably possible thereafter (but any delay in providing any original counterpart does not prejudice the validity of the obligations formed on exchange under this 
                      <internal.reference refid="a102237">
                        <ital>clause 15.4(b)(ii)</ital>
                      </internal.reference>
                      ; and
                    </paratext>
                  </para>
                </subclause3>
                <subclause3 id="a221965">
                  <identifier>(iii)</identifier>
                  <para>
                    <paratext>
                      a copy of an original executed counterpart transmitted by a method specified in 
                      <internal.reference refid="a150827">
                        <ital>clause 15.4(b)(i)</ital>
                      </internal.reference>
                      , instead of the original, is sufficient evidence of the execution of the original and may be produced in evidence for all purposes in place of the original.
                    </paratext>
                  </para>
                </subclause3>
              </subclause2>
            </subclause1>
            <subclause1 id="a338885">
              <identifier>15.5</identifier>
              <head align="left" preservecase="true">
                <headtext>Severability</headtext>
              </head>
              <drafting.note id="a287769" jurisdiction="">
                <head align="left" preservecase="true">
                  <headtext>Severability</headtext>
                </head>
                <division id="a000059" level="1">
                  <para>
                    <paratext>
                      The purpose of this 
                      <internal.reference refid="a338885">
                        <ital>clause 15.5</ital>
                      </internal.reference>
                       is to demonstrate the parties' intention that where a provision of an agreement is or becomes invalid or unenforceable, the remainder of the agreement should continue to be valid and enforceable wherever possible. This is achieved by severing the invalid or unenforceable provision from the rest of the agreement (
                      <ital>Life Insurance Co of Australia Ltd v Phillips </ital>
                      (1925) 36 CLR 60; [1925] HCA 18).
                    </paratext>
                  </para>
                  <para>
                    <paratext>The inclusion of a severability clause does not guarantee that invalid or unenforceable provisions will always be severed. Similarly, invalid or unenforceable provisions of agreements that do not contain this clause may still be severable.</paratext>
                  </para>
                  <para>
                    <paratext>Whether or not a provision will be severable depends on the individual facts and circumstances.</paratext>
                  </para>
                  <para>
                    <paratext>
                      For more information, see the drafting notes in 
                      <link anchor="a400475" href="w-001-1407" style="ACTLinkPLCtoPLC">
                        <ital>Standard clause, Severability</ital>
                      </link>
                      .
                    </paratext>
                  </para>
                </division>
              </drafting.note>
              <subclause2 id="a534790">
                <identifier>(a)</identifier>
                <para>
                  <paratext>If the whole or any part of a provision of this Agreement is or becomes invalid or unenforceable under the law of any jurisdiction, it is severed in that jurisdiction to the extent that it is invalid or unenforceable and whether it is in severable terms or not.</paratext>
                </para>
              </subclause2>
              <subclause2 id="a980405">
                <identifier>(b)</identifier>
                <para>
                  <paratext>
                    <internal.reference refid="a534790">
                      <ital>Clause 15.5(a)</ital>
                    </internal.reference>
                     does not apply if the severance of a provision of this Agreement in accordance with that clause would materially affect or alter the nature or effect of the parties' obligations under this Agreement.
                  </paratext>
                </para>
              </subclause2>
            </subclause1>
            <subclause1 id="a465412">
              <identifier>15.6</identifier>
              <head align="left" preservecase="true">
                <headtext>No merger</headtext>
              </head>
              <drafting.note id="a998702" jurisdiction="">
                <head align="left" preservecase="true">
                  <headtext>No merger</headtext>
                </head>
                <division id="a000060" level="1">
                  <para>
                    <paratext>
                      This 
                      <internal.reference refid="a465412">
                        <ital>clause 15.6</ital>
                      </internal.reference>
                       sets out the parties' intention that their rights and obligations under the agreement do not merge or extinguish on 
                      <link href="w-005-8551" style="ACTLinkPLCtoPLC">
                        <bold>
                          <ital>completion</ital>
                        </bold>
                      </link>
                       of the agreement. It is usually preferable to include this clause because it specifically excludes an unintended operation of the contractual doctrine of merger that could result in the parties' rights or obligations being extinguished on completion of the relevant transaction (
                      <ital>Allen v Richardson </ital>
                      (1879) LR 13 Ch D 524 and 
                      <ital>Lei Fu v Bucasia Pty Ltd </ital>
                      (2014) 17 BPR 32,885; [2014] NSWSC 325).
                    </paratext>
                  </para>
                  <para>
                    <paratext>
                      For a standard clause of this type, see 
                      <link href="w-001-4690" style="ACTLinkPLCtoPLC">
                        <ital>Standard clause, No merger</ital>
                      </link>
                      .
                    </paratext>
                  </para>
                </division>
              </drafting.note>
              <para>
                <paratext>On completion or termination of this Agreement, the rights and obligations of the parties set out in this Agreement will not merge and any provision that has not been fulfilled remains in force.</paratext>
              </para>
            </subclause1>
            <subclause1 id="a319410">
              <identifier>15.7</identifier>
              <head align="left" preservecase="true">
                <headtext>Further action</headtext>
              </head>
              <drafting.note id="a978669" jurisdiction="">
                <head align="left" preservecase="true">
                  <headtext>Further action</headtext>
                </head>
                <division id="a000061" level="1">
                  <para>
                    <paratext>
                      This 
                      <internal.reference refid="a319410">
                        <ital>clause 15.7</ital>
                      </internal.reference>
                      , sometimes known as a further assurance or further steps clause, is intended to ensure that parties do all things necessary to give effect to their agreement, even where those things are not specifically set out in the agreement.
                    </paratext>
                  </para>
                  <para>
                    <paratext>
                      The obligation to do all things necessary to give effect to the agreement is, however, limited to things that are contemplated by the agreement. For example, a party will not usually be required to take further action to give effect to oral intentions or arrangements contemplated by any previous agreement between the parties (
                      <ital>Fox Entertainment Precinct Pty Ltd v Centennial Park &amp; Moore Park Trust </ital>
                      [2004] NSWSC 214).
                    </paratext>
                  </para>
                  <para>
                    <paratext>
                      For more information, see the drafting notes in 
                      <link href="w-001-1408" style="ACTLinkPLCtoPLC">
                        <ital>Standard clause, Further action</ital>
                      </link>
                      .
                    </paratext>
                  </para>
                </division>
              </drafting.note>
              <para>
                <paratext>Each party must [at its own expense] do all things (including completing and signing all documents) [reasonably] requested by the other party that are necessary to:</paratext>
              </para>
              <subclause2 id="a686681">
                <identifier>(a)</identifier>
                <para>
                  <paratext>bind the party and any other person intended to be bound by this Agreement;</paratext>
                </para>
              </subclause2>
              <subclause2 id="a594883">
                <identifier>(b)</identifier>
                <para>
                  <paratext>show that it is complying with this Agreement; and</paratext>
                </para>
              </subclause2>
              <subclause2 id="a133931">
                <identifier>(c)</identifier>
                <para>
                  <paratext>give full effect to this Agreement and the transactions contemplated by this Agreement,</paratext>
                </para>
              </subclause2>
              <para>
                <paratext>and use [all] reasonable endeavours to procure that any third parties do the same.</paratext>
              </para>
            </subclause1>
            <subclause1 id="a443091">
              <identifier>15.8</identifier>
              <head align="left" preservecase="true">
                <headtext>Time of the essence</headtext>
              </head>
              <drafting.note id="a217540" jurisdiction="">
                <head align="left" preservecase="true">
                  <headtext>Time of the essence</headtext>
                </head>
                <division id="a000062" level="1">
                  <para>
                    <paratext>
                      This 
                      <internal.reference refid="a443091">
                        <ital>clause 15.8</ital>
                      </internal.reference>
                       sets out the parties' intention that the time by when obligations must be performed or money must be paid is an essential term of the agreement. Including this clause means that a party who fails to perform an obligation or pay money within a specified time period breaches an essential term of the agreement. Breach of an essential term may give the other parties a right to terminate the agreement.
                    </paratext>
                  </para>
                </division>
              </drafting.note>
              <para>
                <paratext>Time is of the essence in this Agreement in respect of any date or time period and any obligation to pay money.</paratext>
              </para>
            </subclause1>
            <subclause1 id="a115114">
              <identifier>15.9</identifier>
              <head align="left" preservecase="true">
                <headtext>Force majeure</headtext>
              </head>
              <drafting.note id="a335846" jurisdiction="">
                <head align="left" preservecase="true">
                  <headtext>Force majeure</headtext>
                </head>
                <division id="a000063" level="1">
                  <para>
                    <paratext>Force majeure provisions are typically more important to SaaS suppliers than customers, which have obligations that are often substantially limited to payment of fees.</paratext>
                  </para>
                  <para>
                    <paratext>
                      <internal.reference refid="a115114">
                        <ital>Clause 15.9</ital>
                      </internal.reference>
                       is a standard short form mutual force majeure clause. Customers are likely to insist on a mutual clause that includes payment obligations in any event.
                    </paratext>
                  </para>
                  <para>
                    <paratext>Because this is a short form clause, it does not include any list of examples of types of events beyond the reasonable control of the parties. Suppliers may wish to expressly include particular events to avoid any uncertainty about their status if it might be contentious as to whether they are beyond the reasonable control of a party.</paratext>
                  </para>
                  <para>
                    <paratext>
                      Likewise, due to its short form nature, this 
                      <internal.reference refid="a115114">
                        <ital>clause 15.9</ital>
                      </internal.reference>
                       does not include a requirement for the affected party to notify the other party when a force majeure event exists and has caused a delay or failure in performance. It is advisable to refer to the drafting notes to 
                      <link anchor="a884156" href="w-001-3899" style="ACTLinkPLCtoPLC">
                        <ital>Standard clause, Force majeure: clause 1 (Force majeure (long form))</ital>
                      </link>
                       as certain additional drafting may be desirable, such as a notice requirement.
                    </paratext>
                  </para>
                </division>
              </drafting.note>
              <subclause2 id="a483622">
                <identifier>(a)</identifier>
                <para>
                  <paratext>
                    Neither party will be in breach of this Agreement nor liable for delay in performing, or failure to perform, any of its obligations under this Agreement if such delay or failure result from events, circumstances or causes beyond its reasonable control (
                    <bold>Force Majeure Event</bold>
                    ). In such circumstances, [the time for performance must be extended by a period equivalent to the period during which performance of the obligation has been delayed or failed to be performed 
                    <bold>OR</bold>
                     the affected party will be entitled to a reasonable extension of the time for performing such obligations]. If the period of delay or non-performance continues for [NUMBER] [weeks 
                    <bold>OR</bold>
                     months], the party not affected by the Force Majeure Event may terminate this Agreement by giving [NUMBER] [days' 
                    <bold>OR</bold>
                     weeks'] Notice to the affected party.
                  </paratext>
                </para>
              </subclause2>
              <subclause2 id="a898632">
                <identifier>(b)</identifier>
                <para>
                  <paratext>The performance of the affected obligations must be resumed as soon as practicable after such Force Majeure Event is removed or has ceased.</paratext>
                </para>
              </subclause2>
            </subclause1>
            <subclause1 id="a126396">
              <identifier>15.10</identifier>
              <head align="left" preservecase="true">
                <headtext>Relationship of the parties</headtext>
              </head>
              <drafting.note id="a293154" jurisdiction="">
                <head align="left" preservecase="true">
                  <headtext>Relationship of the parties</headtext>
                </head>
                <division id="a000064" level="1">
                  <para>
                    <paratext>
                      This 
                      <internal.reference refid="a126396">
                        <ital>clause 15.10</ital>
                      </internal.reference>
                       is intended to limit the relationship of the parties by excluding any unintended relationship that may have adverse consequences for the parties. It is commonly included in commercial agreements of all types to:
                    </paratext>
                  </para>
                  <list type="bulleted">
                    <list.item>
                      <para>
                        <paratext>Clearly state that neither party can bind the other in any way.</paratext>
                      </para>
                    </list.item>
                    <list.item>
                      <para>
                        <paratext>
                          Clarify that the agreement does not create a 
                          <link href="w-004-5500" style="ACTLinkPLCtoPLC">
                            <bold>
                              <ital>fiduciary relationship</ital>
                            </bold>
                          </link>
                           between the parties.
                        </paratext>
                      </para>
                    </list.item>
                  </list>
                  <para>
                    <paratext>This clause negatively expresses the nature of the parties' relationship. An alternative approach would be to expressly state the relationship of the parties.</paratext>
                  </para>
                  <para>
                    <paratext>This clause should be considered in the context of any other provisions of the parties' agreement that are actually intended to give one party authority to bind another party in a specific situation.</paratext>
                  </para>
                  <para>
                    <paratext>
                      This clause makes clear that the agreement does not create a fiduciary relationship between any of the parties. Imposing a 
                      <link href="w-004-5503" style="ACTLinkPLCtoPLC">
                        <bold>
                          <ital>fiduciary duty</ital>
                        </bold>
                      </link>
                       on a party to a commercial agreement may be disadvantageous for that party because it may be prevented from acting in its own best commercial interests. It is well established that the parties to an agreement can exclude a fiduciary relationship or vary any fiduciary obligations (see 
                      <ital>Chan v Zacharia </ital>
                      (1984) 154 CLR 178; [1984] HCA 36; 
                      <ital>Woolworths Ltd v Kelly </ital>
                      (1991) 22 NSWLR 189; 4 ACSR 431; and 
                      <ital>News Ltd v Australian Rugby Football League Ltd </ital>
                      (1996) 64 FCR 410; [1996] FCA 870).
                    </paratext>
                  </para>
                  <para>
                    <paratext>
                      For more information, see the drafting notes in 
                      <link href="w-001-1645" style="ACTLinkPLCtoPLC">
                        <ital>Standard clause, Relationship of the parties</ital>
                      </link>
                      .
                    </paratext>
                  </para>
                </division>
              </drafting.note>
              <subclause2 id="a177103">
                <identifier>(a)</identifier>
                <para>
                  <paratext>Nothing in this Agreement gives a party authority to bind any other party in any way.</paratext>
                </para>
              </subclause2>
              <subclause2 id="a653957">
                <identifier>(b)</identifier>
                <para>
                  <paratext>Nothing in this Agreement imposes any fiduciary duties on a party in relation to any other party.</paratext>
                </para>
              </subclause2>
            </subclause1>
            <subclause1 id="a534247">
              <identifier>15.11</identifier>
              <head align="left" preservecase="true">
                <headtext>Exercise of rights</headtext>
              </head>
              <drafting.note id="a963537" jurisdiction="">
                <head align="left" preservecase="true">
                  <headtext>Exercise of rights</headtext>
                </head>
                <division id="a000065" level="1">
                  <para>
                    <paratext>
                      This 
                      <internal.reference refid="a534247">
                        <ital>clause 15.11</ital>
                      </internal.reference>
                       is intended to ensure that parties exercising their rights, powers or discretions under the agreement are not required to act reasonably. This gives the parties full discretion to exercise their rights as and when commercially beneficial to them, without having to first consider matters of fairness or reasonableness. It is difficult for parties to know with certainty when and how they would be permitted to exercise their rights, powers or discretions if an obligation of good faith or reasonableness is imposed.
                    </paratext>
                  </para>
                  <para>
                    <paratext>
                      For more information, see the drafting notes in 
                      <link href="w-001-1112" style="ACTLinkPLCtoPLC">
                        <ital>Standard clause, Exercise of rights</ital>
                      </link>
                      .
                    </paratext>
                  </para>
                </division>
              </drafting.note>
              <subclause2 id="a184949">
                <identifier>(a)</identifier>
                <para>
                  <paratext>No party is required to act reasonably in exercising any right, power, authority, discretion or remedy under or in connection with this Agreement, including the granting or withholding of any approval or consent, unless expressly required to do so by the terms of this Agreement.</paratext>
                </para>
              </subclause2>
              <subclause2 id="a834257">
                <identifier>(b)</identifier>
                <para>
                  <paratext>Any party may [(without being required to act reasonably)] make any consent or approval required to be given by it under or in connection with this Agreement, or a waiver of any of its rights, powers, authority, discretion or remedies arising under or in connection with this Agreement, subject to conditions that must be complied with by the party seeking to rely on the consent, approval or waiver.</paratext>
                </para>
              </subclause2>
            </subclause1>
            <subclause1 id="a215272">
              <identifier>15.12</identifier>
              <head align="left" preservecase="true">
                <headtext>Remedies cumulative</headtext>
              </head>
              <drafting.note id="a163173" jurisdiction="">
                <head align="left" preservecase="true">
                  <headtext>Remedies cumulative</headtext>
                </head>
                <division id="a000066" level="1">
                  <para>
                    <paratext>
                      This 
                      <internal.reference refid="a215272">
                        <ital>clause 15.12</ital>
                      </internal.reference>
                       states the parties' intentions that their contractual rights, powers and remedies under the agreement coexist with those available under law. It is included to avoid any suggestion that the agreement displaces the parties' other legal rights, powers and remedies. An agreement that does not include this clause may be interpreted as excluding a party's ability to bring a claim for a cause of action arising under a statute, for example, the 
                      <ital>Corporations Act 2001 </ital>
                      (Cth) (CA 2001) or the 
                      <ital>Australian Securities and Investments Commission Act 2001 </ital>
                      (Cth).
                    </paratext>
                  </para>
                  <para>
                    <paratext>
                      This clause contemplates that the agreement may still specifically exclude certain rights, powers and remedies available under the law. However, note that parties cannot contractually agree to refrain from exercising certain statutory rights, powers and remedies. For example, an agreement cannot usually exclude a party's ability to bring a claim for 
                      <link href="w-012-9052" style="ACTLinkPLCtoPLC">
                        <bold>
                          <ital>misleading and deceptive conduct</ital>
                        </bold>
                      </link>
                       under the Australian Consumer Law (which is set out in Schedule 2 to the 
                      <ital>Competition and Consumer Act 2010</ital>
                       (Cth)) (
                      <ital>Butcher v Lachlan Elder Realty Pty Ltd </ital>
                      (2004) 218 CLR 592; [2004] HCA 60). The relationship between statutory rights, powers and liabilities and those available under contract is a complex area to be carefully considered in the particular circumstances.
                    </paratext>
                  </para>
                  <para>
                    <paratext>
                      For a standard clause of this type, see 
                      <link href="w-001-4687" style="ACTLinkPLCtoPLC">
                        <ital>Standard clause, Remedies cumulative</ital>
                      </link>
                      .
                    </paratext>
                  </para>
                </division>
              </drafting.note>
              <para>
                <paratext>Except as provided in this Agreement and permitted by law, the rights, powers and remedies provided in this Agreement are cumulative with and not exclusive of the rights, powers or remedies provided by law independently of this Agreement.</paratext>
              </para>
            </subclause1>
            <subclause1 id="a209450">
              <identifier>15.13</identifier>
              <head align="left" preservecase="true">
                <headtext>Entire agreement</headtext>
              </head>
              <drafting.note id="a834000" jurisdiction="">
                <head align="left" preservecase="true">
                  <headtext>Entire agreement</headtext>
                </head>
                <division id="a000067" level="1">
                  <para>
                    <paratext>
                      Usually, parties to an agreement will wish to include an entire agreement clause acknowledging that the agreement supersedes all prior agreements, understandings, negotiations and discussions. This 
                      <internal.reference refid="a209450">
                        <ital>clause 15.13</ital>
                      </internal.reference>
                       is intended to:
                    </paratext>
                  </para>
                  <list type="bulleted">
                    <list.item>
                      <para>
                        <paratext>Identify all of the agreed terms between the parties by seeking to confirm that they are all contained within the agreement.</paratext>
                      </para>
                    </list.item>
                    <list.item>
                      <para>
                        <paratext>Prevent parties to the agreement from claiming that there are other sources of agreed terms, outside of the agreement itself, that constitute additional terms of the agreement. For example:</paratext>
                      </para>
                      <list type="bulleted">
                        <list.item>
                          <para>
                            <paratext>the terms agreed during any pre-contractual negotiations;</paratext>
                          </para>
                        </list.item>
                        <list.item>
                          <para>
                            <paratext>
                              the terms of a non-binding heads of agreement (see 
                              <link href="w-001-0204" style="ACTLinkPLCtoPLC">
                                <ital>Practice note, Heads of agreement</ital>
                              </link>
                              );
                            </paratext>
                          </para>
                        </list.item>
                        <list.item>
                          <para>
                            <paratext>terms that could be implied through the conduct of parties before signing the agreement, whether during negotiations or otherwise; and</paratext>
                          </para>
                        </list.item>
                        <list.item>
                          <para>
                            <paratext>terms contained in a side letter agreed between the parties.</paratext>
                          </para>
                        </list.item>
                      </list>
                    </list.item>
                  </list>
                  <para>
                    <paratext>
                      For more information, see the drafting notes in 
                      <link href="w-001-0156" style="ACTLinkPLCtoPLC">
                        <ital>Standard clause, Entire agreement</ital>
                      </link>
                      .
                    </paratext>
                  </para>
                </division>
              </drafting.note>
              <para>
                <paratext>This Agreement states all the express terms agreed by the parties about its subject matter. It supersedes all prior agreements, understandings, negotiations and discussions in respect of its subject matter.</paratext>
              </para>
            </subclause1>
            <subclause1 id="a186364">
              <identifier>15.14</identifier>
              <head align="left" preservecase="true">
                <headtext>No reliance</headtext>
              </head>
              <drafting.note id="a715474" jurisdiction="">
                <head align="left" preservecase="true">
                  <headtext>No reliance</headtext>
                </head>
                <division id="a000068" level="1">
                  <para>
                    <paratext>A no-reliance clause acknowledges that a contracting party has not relied on any pre-contractual representations by other parties when entering into the agreement.</paratext>
                  </para>
                  <para>
                    <paratext>
                      Case law indicates that no-reliance clauses will not necessarily prevent a party's conduct from being found to be 
                      <link href="w-012-9052" style="ACTLinkPLCtoPLC">
                        <bold>
                          <ital>misleading or deceptive</ital>
                        </bold>
                      </link>
                       under section 18 of the Australian Consumer Law.
                    </paratext>
                  </para>
                  <para>
                    <paratext>There are, however, some practical ways of attempting to exclude liability for a breach of the misleading and deceptive conduct provisions in the Australian Consumer Law.</paratext>
                  </para>
                  <para>
                    <paratext>
                      For more information, see the drafting notes in 
                      <link href="w-001-0410" style="ACTLinkPLCtoPLC">
                        <ital>Standard clause, No reliance</ital>
                      </link>
                      .
                    </paratext>
                  </para>
                  <para>
                    <paratext>
                      For more information generally on misleading or deceptive conduct, see 
                      <link href="w-007-9657" style="ACTLinkPLCtoPLC">
                        <ital>Practice note: overview, Misleading conduct and false representations</ital>
                      </link>
                      .
                    </paratext>
                  </para>
                  <para>
                    <paratext>
                      A no-reliance clause may still be effective to limit potential liability of parties for misleading conduct arising under a common law tort claim. For more information, see 
                      <link href="w-005-6226" style="ACTLinkPLCtoPLC">
                        <ital>Practice note, Misrepresentation</ital>
                      </link>
                      .
                    </paratext>
                  </para>
                </division>
              </drafting.note>
              <para>
                <paratext>No party has relied on any statement, representation, assurance or warranty made or given by any other party, except as expressly set out in this Agreement.</paratext>
              </para>
            </subclause1>
            <subclause1 id="a937615">
              <identifier>15.15</identifier>
              <head align="left" preservecase="true">
                <headtext>Default interest</headtext>
              </head>
              <drafting.note id="a766031" jurisdiction="">
                <head align="left" preservecase="true">
                  <headtext>Default interest</headtext>
                </head>
                <division id="a000069" level="1">
                  <para>
                    <paratext>
                      This 
                      <internal.reference refid="a937615">
                        <ital>clause 15.15</ital>
                      </internal.reference>
                       sets out the amount of interest payable on due but unpaid amounts under the agreement and includes the rate of interest payable on those amounts. Where the agreement sets out an interest rate, the default interest rate is generally calculated at that interest rate plus an agreed percentage. However, if the agreement does not specify a general interest rate then the entire calculation mechanism for the default interest rate should be specified in this clause. If the interest is to be capitalised on a regular basis, this should be specifically set out in this clause.
                    </paratext>
                  </para>
                  <para>
                    <paratext>
                      To ensure that default interest clauses are enforceable, care must be taken to ensure that the default interest amounts payable are not in the nature of a 
                      <link href="w-013-4075" style="ACTLinkPLCtoPLC">
                        <bold>
                          <ital>penalty</ital>
                        </bold>
                      </link>
                      . The key factor is whether the default interest charge can be objectively justified based on the likely greatest conceivable loss to the party to whom amounts are due (
                      <ital>Arab Bank Australia Ltd v Sayde Developments Pty Ltd </ital>
                      (2016) 93 NSWLR 231; [2016] NSWCA 328 at pages 246-247 (McDougall J; Gleeson JA and Sackville AJA agreeing)). In summary, the law will not enforce a contractual term whose predominant purpose is to punish one party for breach of the contract, rather than to compensate the other party for loss occasioned by that breach (see the classic statements of principle in 
                      <ital>Dunlop Pneumatic Tyre Company Ltd v New Garage and Motor Company Ltd</ital>
                       [1915] AC 79 at pages 86-87). Generally speaking, a default interest clause might be in the nature of a penalty where:
                    </paratext>
                  </para>
                  <list type="bulleted">
                    <list.item>
                      <para>
                        <paratext>The amount that would be payable is not a genuine pre-estimate of loss that would be suffered by the party to whom the unpaid amounts are due.</paratext>
                      </para>
                    </list.item>
                    <list.item>
                      <para>
                        <paratext>The amount that would be payable is extravagant and unconscionable when compared to the greatest loss that could conceivably have followed from the breach or condition giving rise to the payment.</paratext>
                      </para>
                    </list.item>
                    <list.item>
                      <para>
                        <paratext>The amount that would be payable is out of all proportion to the legitimate commercial interests of the party the default interest clause seeks to protect.</paratext>
                      </para>
                    </list.item>
                  </list>
                  <para>
                    <paratext>
                      (
                      <ital>Paciocco v Australia and New Zealand Banking Group Ltd </ital>
                      (2016) 258 CLR 525; [2016] HCA 28
                      <ital>; Andrews v Australia and New Zealand Banking Group Ltd (</ital>
                      2012) 247 CLR 205
                      <ital>; </ital>
                      [2012] HCA 30;
                      <ital> </ital>
                      and 
                      <ital>Ringrow Pty Ltd v BP Australia Pty Ltd </ital>
                      (2005) 224 CLR 656; [2005] HCA 71.)
                    </paratext>
                  </para>
                  <para>
                    <paratext>
                      For more information, see 
                      <link href="w-001-8266" style="ACTLinkPLCtoPLC">
                        <ital>Standard clause, Default interest</ital>
                      </link>
                       and the accompanying drafting notes.
                    </paratext>
                  </para>
                </division>
              </drafting.note>
              <subclause2 id="a509378">
                <identifier>(a)</identifier>
                <para>
                  <paratext>
                    If any sum due for payment under this Agreement is not paid on the due date, the Customer must pay interest on the [amount unpaid 
                    <bold>OR</bold>
                     [BALANCE OR OTHER AMOUNT OWING]] at the [Interest Rate 
                    <bold>OR</bold>
                     [OTHER SPECIFIED RATE OR CALCULATION METHOD]] plus [ADDITIONAL PERCENTAGE]%.
                  </paratext>
                </para>
              </subclause2>
              <subclause2 id="a208408">
                <identifier>(b)</identifier>
                <para>
                  <paratext>
                    Interest payable under 
                    <internal.reference refid="a509378">
                      <ital>clause 15.15(a)</ital>
                    </internal.reference>
                     accrues on a day-to-day basis from the due date up to and including the date of actual payment.
                  </paratext>
                </para>
              </subclause2>
              <subclause2 id="a911015">
                <identifier>(c)</identifier>
                <para>
                  <paratext>
                    [Interest payable under 
                    <internal.reference refid="a509378">
                      <ital>clause 15.15(a)</ital>
                    </internal.reference>
                     may be capitalised by the Supplier [on a [monthly 
                    <bold>OR</bold>
                     quarterly] basis 
                    <bold>OR </bold>
                    [OTHER CAPITALISATION METHOD]].]
                  </paratext>
                </para>
              </subclause2>
            </subclause1>
            <subclause1 id="a630525">
              <identifier>15.16</identifier>
              <head align="left" preservecase="true">
                <headtext>Governing law and jurisdiction</headtext>
              </head>
              <drafting.note id="a898697" jurisdiction="">
                <head align="left" preservecase="true">
                  <headtext>Governing law and jurisdiction</headtext>
                </head>
                <division id="a000070" level="1">
                  <para>
                    <paratext>
                      This 
                      <internal.reference refid="a630525">
                        <ital>clause 15.16</ital>
                      </internal.reference>
                       sets out the parties' choice of governing law in respect of their agreement, and specifies the courts that will have jurisdictional competence to resolve disputes relating to the agreement. It is almost always included in commercial agreements of all types, primarily because it provides certainty on how disputes about the agreement will be resolved.
                    </paratext>
                  </para>
                  <para>
                    <paratext>
                      For a full discussion of governing law and jurisdiction matters, see the drafting notes in 
                      <link href="w-001-1409" style="ACTLinkPLCtoPLC">
                        <ital>Standard clause, Governing law and jurisdiction</ital>
                      </link>
                      , and 
                      <link href="w-008-5147" style="ACTLinkPLCtoPLC">
                        <ital>Practice note, Governing law and jurisdiction clauses</ital>
                      </link>
                      .
                    </paratext>
                  </para>
                </division>
              </drafting.note>
              <subclause2 id="a926032">
                <identifier>(a)</identifier>
                <para>
                  <paratext>This Agreement is governed by the law in force in [JURISDICTION].</paratext>
                </para>
              </subclause2>
              <subclause2 id="a202674">
                <identifier>(b)</identifier>
                <para>
                  <paratext>Each party irrevocably:</paratext>
                </para>
                <subclause3 id="a494939">
                  <identifier>(i)</identifier>
                  <para>
                    <paratext>
                      submits to the [non-exclusive 
                      <bold>OR</bold>
                       exclusive] jurisdiction of courts exercising jurisdiction in [JURISDICTION] and courts of appeal from them in respect of any proceedings arising out of or in connection with this Agreement; and
                    </paratext>
                  </para>
                </subclause3>
                <subclause3 id="a212576">
                  <identifier>(ii)</identifier>
                  <para>
                    <paratext>waives any right it has to object to the venue of any legal process in those courts on the basis that the process has been brought in an inconvenient forum or that those courts do not have jurisdiction.</paratext>
                  </para>
                </subclause3>
              </subclause2>
            </subclause1>
          </clause>
        </operative>
        <disclosure.schedule>
          <schedule id="a172476">
            <identifier>Schedule 1</identifier>
            <head align="left" preservecase="true">
              <headtext>Agreement details</headtext>
            </head>
            <part id="a637104">
              <identifier>Part 1</identifier>
              <head align="left" preservecase="true">
                <headtext>Commencement Date</headtext>
              </head>
              <para>
                <paratext>[DATE]</paratext>
              </para>
            </part>
            <part id="a314103">
              <identifier>Part 2</identifier>
              <head align="left" preservecase="true">
                <headtext>Fees</headtext>
              </head>
              <drafting.note id="a765072" jurisdiction="">
                <head align="left" preservecase="true">
                  <headtext>Fees</headtext>
                </head>
                <division id="a000071" level="1">
                  <para>
                    <paratext>
                      See 
                      <internal.reference refid="a128143">
                        <ital>Drafting note, Fees and Payment</ital>
                      </internal.reference>
                       and 
                      <internal.reference refid="a472886">
                        <ital>Drafting note, Term and termination</ital>
                      </internal.reference>
                      .
                    </paratext>
                  </para>
                </division>
              </drafting.note>
              <para>
                <paratext>[FEES AND CORRESPONDING SUBSCRIPTION PERIOD LENGTH, PAYMENT REQUIREMENTS, INCLUDING INVOICING AND ANY RENEWAL FEE NOTIFICATION PROCESS OR RENEWAL FEE INCREASE LIMITATIONS]</paratext>
              </para>
            </part>
            <part id="a226034">
              <identifier>Part 3</identifier>
              <head align="left" preservecase="true">
                <headtext>[Number of Authorised Users</headtext>
              </head>
              <para>
                <paratext>Maximum number of Authorised Users: [NUMBER].]</paratext>
              </para>
            </part>
            <part id="a267351">
              <identifier>Part 4</identifier>
              <head align="left" preservecase="true">
                <headtext>[Services</headtext>
              </head>
              <para>
                <paratext>[DESCRIPTION OF THE SOFTWARE AS A SERVICE OFFERING SUPPLIED OR TO BE SUPPLIED]]</paratext>
              </para>
            </part>
            <part id="a262139">
              <identifier>Part 5</identifier>
              <head align="left" preservecase="true">
                <headtext>[Third-Party Products</headtext>
              </head>
              <para>
                <paratext>[DESCRIPTION, FLOW THROUGH PROVISIONS, URL LINKS TO LICENCES]]</paratext>
              </para>
            </part>
          </schedule>
          <schedule id="a206850">
            <identifier>Schedule 2</identifier>
            <head align="left" preservecase="true">
              <headtext>[Policies</headtext>
            </head>
            <part id="a489859">
              <identifier>Part 1</identifier>
              <head align="left" preservecase="true">
                <headtext>[Privacy Policy</headtext>
              </head>
              <para>
                <paratext>[COPY OF PRIVACY POLICY]]</paratext>
              </para>
            </part>
            <part id="a295179">
              <identifier>Part 2</identifier>
              <head align="left" preservecase="true">
                <headtext>[Security Measures</headtext>
              </head>
              <para>
                <paratext>[COPY OF DATA SECURITY POLICY]]]</paratext>
              </para>
            </part>
          </schedule>
          <schedule id="a834905">
            <identifier>Schedule 3</identifier>
            <head align="left" preservecase="true">
              <headtext>[Service Levels</headtext>
            </head>
            <drafting.note id="a763639" jurisdiction="">
              <head align="left" preservecase="true">
                <headtext>Service Levels (optional)</headtext>
              </head>
              <division id="a000072" level="1">
                <para>
                  <paratext>Schedule 3 is optional and describes the service levels as an alternative to having them described on the supplier's website.</paratext>
                </para>
              </division>
            </drafting.note>
            <clause id="a770882">
              <identifier>1.</identifier>
              <head align="left" preservecase="true">
                <headtext>Definitions</headtext>
              </head>
              <subclause1 id="a351010">
                <identifier>1.1</identifier>
                <para>
                  <paratext>In this Schedule 3, the following definitions are used:</paratext>
                </para>
                <subclause2 id="a464661">
                  <identifier>(a)</identifier>
                  <para>
                    <paratext>
                      <bold>Available:</bold>
                       the Services are available for access and use by the Customer and Authorised Users over the internet [or private network] and operating in substantial conformity with the applicable Documentation.
                    </paratext>
                  </para>
                </subclause2>
                <subclause2 id="a444391">
                  <identifier>(b)</identifier>
                  <para>
                    <paratext>
                      <bold>Availability Requirement:</bold>
                       the definition given in 
                      <internal.reference refid="a403779">
                        <ital>paragraph 2</ital>
                      </internal.reference>
                      .
                    </paratext>
                  </para>
                </subclause2>
                <subclause2 id="a274857">
                  <identifier>(c)</identifier>
                  <para>
                    <paratext>
                      <bold>Exception:</bold>
                    </paratext>
                  </para>
                  <subclause3 id="a294243">
                    <identifier>(i)</identifier>
                    <para>
                      <paratext>act or omission by the Customer or any Authorised User;</paratext>
                    </para>
                  </subclause3>
                  <subclause3 id="a619615">
                    <identifier>(ii)</identifier>
                    <para>
                      <paratext>access to or use of the Services by the Customer or any Authorised User that does not strictly comply with this Agreement;</paratext>
                    </para>
                  </subclause3>
                  <subclause3 id="a607980">
                    <identifier>(iii)</identifier>
                    <para>
                      <paratext>the Customer's or its Authorised User's internet [or private network] connectivity;</paratext>
                    </para>
                  </subclause3>
                  <subclause3 id="a197363">
                    <identifier>(iv)</identifier>
                    <para>
                      <paratext>Force Majeure Event;</paratext>
                    </para>
                  </subclause3>
                  <subclause3 id="a122641">
                    <identifier>(v)</identifier>
                    <para>
                      <paratext>failure, interruption, outage or other problem with any software, hardware, system, network, facility or other matter not supplied by the Supplier under this Agreement;</paratext>
                    </para>
                  </subclause3>
                  <subclause3 id="a133864">
                    <identifier>(vi)</identifier>
                    <para>
                      <paratext>Scheduled Downtime; or</paratext>
                    </para>
                  </subclause3>
                  <subclause3 id="a793150">
                    <identifier>(vii)</identifier>
                    <para>
                      <paratext>suspension of the Services pursuant to clause 2.6.</paratext>
                    </para>
                    <drafting.note id="a501779" jurisdiction="">
                      <head align="left" preservecase="true">
                        <headtext>Exception</headtext>
                      </head>
                      <division id="a000073" level="1">
                        <para>
                          <paratext>This definition of Exception sets out common exceptions to the availability requirement that aim to protect the supplier from liability for circumstances outside its control.</paratext>
                        </para>
                      </division>
                    </drafting.note>
                  </subclause3>
                </subclause2>
                <subclause2 id="a234770">
                  <identifier>(d)</identifier>
                  <para>
                    <paratext>
                      <bold>Scheduled Downtime:</bold>
                       the definition given in 
                      <internal.reference refid="a398461">
                        <ital>paragraph 5</ital>
                      </internal.reference>
                      .
                    </paratext>
                  </para>
                </subclause2>
                <subclause2 id="a389218">
                  <identifier>(e)</identifier>
                  <para>
                    <paratext>
                      <bold>Service Credit:</bold>
                       the definition given in 
                      <internal.reference refid="a926716">
                        <ital>paragraph 3.1</ital>
                      </internal.reference>
                      .
                    </paratext>
                  </para>
                </subclause2>
                <subclause2 id="a525040">
                  <identifier>(f)</identifier>
                  <para>
                    <paratext>
                      <bold>Service Level Failure:</bold>
                       a material failure of the Services to meet the Availability Requirement.
                    </paratext>
                  </para>
                </subclause2>
                <subclause2 id="a431756">
                  <identifier>(g)</identifier>
                  <para>
                    <paratext>
                      <bold>Service Period:</bold>
                       each calendar month during the Term.
                    </paratext>
                  </para>
                </subclause2>
              </subclause1>
            </clause>
            <clause id="a403779">
              <identifier>2.</identifier>
              <head align="left" preservecase="true">
                <headtext>Availability Requirement</headtext>
              </head>
              <drafting.note id="a232895" jurisdiction="">
                <head align="left" preservecase="true">
                  <headtext>Availability Requirement</headtext>
                </head>
                <division id="a000074" level="1">
                  <para>
                    <paratext>
                      This 
                      <internal.reference refid="a403779">
                        <ital>paragraph 2</ital>
                      </internal.reference>
                      :
                    </paratext>
                  </para>
                  <list type="bulleted">
                    <list.item>
                      <para>
                        <paratext>Sets out a supplier obligation to achieve a specified minimum level of SaaS service availability.</paratext>
                      </para>
                    </list.item>
                    <list.item>
                      <para>
                        <paratext>
                          Limits the provider's duty to perform the service availability obligation by including a reasonable endeavours standard (see 
                          <link href="w-003-9174" style="ACTLinkPLCtoPLC">
                            <ital>Practice note, Reasonable and best endeavours</ital>
                          </link>
                          ).
                        </paratext>
                      </para>
                    </list.item>
                  </list>
                  <para>
                    <paratext>While the parties must tailor service level criteria to the particular circumstances, common SaaS service level performance criteria include service availability, bandwidth and response time. The parties can provide for a single set of service level requirements and remedies or separate service levels for specified service performance requirements (for example, service availability).</paratext>
                  </para>
                  <para>
                    <paratext>The service level requirement set out in this section favours the supplier with a relatively modest service availability requirement of 99.5%. It is based on one among several possible measures of service performance, namely, service uptime or availability, and may be adjusted to suit the supplier's capacity or the customer's needs. The appropriate service availability (uptime) percentage may vary depending on the nature of the services, for example:</paratext>
                  </para>
                  <list type="bulleted">
                    <list.item>
                      <para>
                        <paratext>The customer may seek a five nines (99.999%) availability requirement for mission critical services.</paratext>
                      </para>
                    </list.item>
                    <list.item>
                      <para>
                        <paratext>Suppliers commonly offer a lower availability or uptime percentage (for example, 99.95% or less) for less critical services.</paratext>
                      </para>
                    </list.item>
                  </list>
                  <para>
                    <paratext>
                      If the parties agree on less than round-the-clock, continuous SaaS service, for example, service only between certain hours or on defined business days, the supplier should ensure that the agreement expressly includes these service availability limitations. If the agreement includes any service availability (uptime) requirements, the supplier should ensure that scheduled downtime (see 
                      <internal.reference refid="a398461">
                        <ital>paragraph 5</ital>
                      </internal.reference>
                       and 
                      <internal.reference refid="a752251">
                        <ital>Drafting note, Scheduled Downtime</ital>
                      </internal.reference>
                      ) is not included with other service outages for purposes of determining whether the provider has met the required service availability level.
                    </paratext>
                  </para>
                  <para>
                    <paratext>
                      For further detailed guidance, see 
                      <link anchor="a311168" href="w-004-8315" style="ACTLinkPLCtoPLC">
                        <ital>Practice note, Cloud computing agreements: Services and service levels</ital>
                      </link>
                      .
                    </paratext>
                  </para>
                </division>
              </drafting.note>
              <subclause1 id="a869065">
                <identifier>2.1</identifier>
                <para>
                  <paratext>
                    Subject to the terms and conditions of this Agreement, the Supplier will use reasonable endeavours to make the Services Available at least [99.5% 
                    <bold>OR</bold>
                     [NUMBER]%] of the time as measured over a Service Period, excluding unavailability as a result of any Exception (
                    <bold>Availability Requirement</bold>
                    ).
                  </paratext>
                </para>
              </subclause1>
            </clause>
            <clause id="a932891">
              <identifier>3.</identifier>
              <head align="left" preservecase="true">
                <headtext>Service Credits</headtext>
              </head>
              <drafting.note id="a525028" jurisdiction="">
                <head align="left" preservecase="true">
                  <headtext>Service Credits</headtext>
                </head>
                <division id="a000075" level="1">
                  <para>
                    <paratext>
                      This 
                      <internal.reference refid="a932891">
                        <ital>paragraph 3</ital>
                      </internal.reference>
                       provides for a minimum service availability level (see 
                      <internal.reference refid="a403779">
                        <ital>paragraph 2</ital>
                      </internal.reference>
                      ) and a corresponding service credit for a failure to meet the service availability requirement (see 
                      <internal.reference refid="a926716">
                        <ital>paragraph 3.1</ital>
                      </internal.reference>
                      ). However, required minimum service performance can be measured:
                    </paratext>
                  </para>
                  <list type="bulleted">
                    <list.item>
                      <para>
                        <paratext>Against several standards or metrics (for example, service availability, bandwidth and response time).</paratext>
                      </para>
                    </list.item>
                    <list.item>
                      <para>
                        <paratext>In multiple tiers representing:</paratext>
                      </para>
                      <list type="bulleted">
                        <list.item>
                          <para>
                            <paratext>the extent to which SaaS service performance falls short of the stated contractual minimums; and</paratext>
                          </para>
                        </list.item>
                        <list.item>
                          <para>
                            <paratext>the corresponding service credits to which the customer is entitled, expressed as a percentage of the monthly or other periodic service fee.</paratext>
                          </para>
                        </list.item>
                      </list>
                    </list.item>
                  </list>
                  <para>
                    <paratext>Where the SaaS service's performance is measured against more than one performance standard, the parties typically:</paratext>
                  </para>
                  <list type="bulleted">
                    <list.item>
                      <para>
                        <paratext>Define service level failures to include any failure to meet the stated minimum performance level requirements under any of these standards.</paratext>
                      </para>
                    </list.item>
                    <list.item>
                      <para>
                        <paratext>Set out these minimum service levels and corresponding service credits (or tiers of service credits) for service level failures in one or more service level tables.</paratext>
                      </para>
                    </list.item>
                  </list>
                  <para>
                    <paratext>The supplier should avoid including any terms that require it to issue multiple service credits for a single service outage. For example, if the parties agree to more than one minimum performance metric, the supplier should include a provision stating that the customer will be entitled to only the service credit for the supplier's failure to achieve the metric that yields the highest service credit.</paratext>
                  </para>
                  <para>
                    <paratext>
                      For further detailed guidance, see 
                      <link anchor="a493917" href="w-004-8315" style="ACTLinkPLCtoPLC">
                        <ital>Practice note, Cloud computing agreements: Service credits</ital>
                      </link>
                      .
                    </paratext>
                  </para>
                </division>
              </drafting.note>
              <subclause1 id="a926716">
                <identifier>3.1</identifier>
                <para>
                  <paratext>
                    In the event of a Service Level Failure, the Supplier will issue a credit to the Customer in the amount of [NUMBER]% of the monthly Fees for the Services due for the Service Period the Service Level Failure occurred (each a 
                    <bold>Service Credit</bold>
                    ), subject to the following:
                  </paratext>
                </para>
                <subclause2 id="a449550">
                  <identifier>(a)</identifier>
                  <para>
                    <paratext>The Supplier has no obligation to issue any Service Credit unless:</paratext>
                  </para>
                  <subclause3 id="a711334">
                    <identifier>(i)</identifier>
                    <para>
                      <paratext>the Customer reports the Service Level Failure to the Supplier immediately on becoming aware of it; and</paratext>
                    </para>
                  </subclause3>
                  <subclause3 id="a838116">
                    <identifier>(ii)</identifier>
                    <para>
                      <paratext>requests a Service Credit in writing within [NUMBER] days of the Service Level Failure.</paratext>
                    </para>
                  </subclause3>
                </subclause2>
                <subclause2 id="a214724">
                  <identifier>(b)</identifier>
                  <para>
                    <paratext>In no event will a Service Credit for any Service Period exceed [NUMBER]% of the total Fees that would be payable for that Service Period if no Service Level Failure had occurred.</paratext>
                  </para>
                </subclause2>
              </subclause1>
              <subclause1 id="a717989">
                <identifier>3.2</identifier>
                <para>
                  <paratext>
                    Any Service Credit payable to the Customer under this Agreement will be issued to the Customer [in the calendar month following the Service Period in which the Service Level Failure occurred 
                    <bold>OR</bold>
                     [TIME PERIOD]].
                  </paratext>
                </para>
              </subclause1>
            </clause>
            <clause id="a622745">
              <identifier>4.</identifier>
              <head align="left" preservecase="true">
                <headtext>Liability</headtext>
              </head>
              <subclause1 id="a628924">
                <identifier>4.1</identifier>
                <para>
                  <paratext>Clause 3 of Schedule 3 is the Supplier's sole obligation and liability and Customer's sole remedy for any Service Level Failure.</paratext>
                </para>
              </subclause1>
            </clause>
            <clause id="a398461">
              <identifier>5.</identifier>
              <head align="left" preservecase="true">
                <headtext>Scheduled Downtime</headtext>
              </head>
              <drafting.note id="a752251" jurisdiction="">
                <head align="left" preservecase="true">
                  <headtext>Scheduled Downtime</headtext>
                </head>
                <division id="a000076" level="1">
                  <para>
                    <paratext>Suppliers often must schedule service downtime to conduct routine service maintenance and repairs. It is in the supplier's interests that this downtime does not count against the supplier's fulfilment of any service availability requirements.</paratext>
                  </para>
                  <para>
                    <paratext>
                      This 
                      <internal.reference refid="a398461">
                        <ital>paragraph 5</ital>
                      </internal.reference>
                       includes common scheduled downtime requirements and reasonable limitations that aim to protect the customer from surprise service outages and outages during business or peak usage hours. In an aggressive first draft, the supplier may omit optional 
                      <internal.reference refid="a456454">
                        <ital>paragraph 5.1(a)</ital>
                      </internal.reference>
                       limiting the scheduled downtime hours. However, customers frequently insist on limiting when and how often the supplier can schedule service downtime. If these limitations are included, the supplier may seek to relax them by making them subject to the reasonable endeavours standard included as an option in the first line of this 
                      <internal.reference refid="a398461">
                        <ital>paragraph 5</ital>
                      </internal.reference>
                      .
                    </paratext>
                  </para>
                </division>
              </drafting.note>
              <subclause1 id="a442563">
                <identifier>5.1</identifier>
                <para>
                  <paratext>The Supplier will [use reasonable endeavours to]:</paratext>
                </para>
                <subclause2 id="a456454">
                  <identifier>(a)</identifier>
                  <para>
                    <paratext>[schedule downtime for routine maintenance of the Services between the hours of [TIME] am and [TIME] am, [TIME ZONE OR LOCATION] time; and]</paratext>
                  </para>
                </subclause2>
                <subclause2 id="a411170">
                  <identifier>(b)</identifier>
                  <para>
                    <paratext>
                      give the Customer at least [NUMBER] hours prior notice of all scheduled outages of the Services (
                      <bold>Scheduled Downtime</bold>
                      ).]
                    </paratext>
                  </para>
                </subclause2>
              </subclause1>
            </clause>
          </schedule>
          <schedule id="a173797">
            <identifier>Schedule 4</identifier>
            <head align="left" preservecase="true">
              <headtext>[Support Services</headtext>
            </head>
            <para>
              <paratext>[DETAILS OF SUPPORT PROVIDED OR COPY OF SERVICE LEVEL AGREEMENT]]</paratext>
            </para>
          </schedule>
        </disclosure.schedule>
        <testimonium default="false" wording="contract">
          <para>
            <paratext>
              <lang val="en-US">Executed as an agreement.</lang>
            </paratext>
          </para>
        </testimonium>
        <signature default="true" pagebreak="true" signaturemessage="no">
          <para>
            <paratext>
              <table frame="all" pgwide="1">
                <tgroup cols="1">
                  <colspec colname="1" colnum="1" colwidth="100"/>
                  <tbody>
                    <row>
                      <entry valign="top">
                        <para align="left">
                          <paratext>[INSERT THE APPROPRIATE EXECUTION BLOCK FOR EACH PARTY TO THIS DOCUMENT]</paratext>
                        </para>
                      </entry>
                    </row>
                  </tbody>
                </tgroup>
              </table>
            </paratext>
          </para>
          <drafting.note id="a540434" jurisdiction="">
            <head align="left" preservecase="true">
              <headtext>Executed as an agreement</headtext>
            </head>
            <division id="a000077" level="1">
              <para>
                <paratext>
                  This document is drafted as an 
                  <bold>agreement</bold>
                   (or simple contract) rather than a 
                  <link href="w-005-8807" style="ACTLinkPLCtoPLC">
                    <bold>
                      <ital>deed</ital>
                    </bold>
                  </link>
                  .
                </paratext>
              </para>
              <para>
                <paratext>Compared to deeds, agreements have fewer formal requirements to be binding and enforceable. When executing an agreement, each party should comply with both:</paratext>
              </para>
              <list type="bulleted">
                <list.item>
                  <para>
                    <paratext>
                      The common law requirements governing the making of contracts generally. For more information on these principles, see 
                      <link href="w-005-1117" style="ACTLinkPLCtoPLC">
                        <ital>Practice note, Formation of contracts</ital>
                      </link>
                      .
                    </paratext>
                  </para>
                </list.item>
                <list.item>
                  <para>
                    <paratext>
                      Any formal requirements that may be imposed by statute at the Commonwealth level or by the relevant state or territory governing law of the agreement. In respect of agreements, any such requirements will generally relate to how the relevant signatory is expected to sign, based on its legal personality (for example, whether the signatory is an individual, a company, a 
                      <link href="w-006-4192" style="ACTLinkPLCtoPLC">
                        <bold>
                          <ital>partnership</ital>
                        </bold>
                      </link>
                       or another legal entity). For summary information about the applicable formalities:
                    </paratext>
                  </para>
                  <list type="bulleted">
                    <list.item>
                      <para>
                        <paratext>
                          for companies registered under the CA 2001, see 
                          <link href="w-034-2644" style="ACTLinkPLCtoPLC">
                            <ital>Checklist, Quick guide to execution and witnessing of documents by companies registered under the Corporations Act 2001 (Cth)</ital>
                          </link>
                          ; and
                        </paratext>
                      </para>
                    </list.item>
                    <list.item>
                      <para>
                        <paratext>
                          for individuals and other entities, see the relevant quick guide applicable to the state or territory governing law of the agreement in 
                          <link anchor="a727569" href="w-002-5372" style="ACTLinkPLCtoPLC">
                            <ital>Toolkit, Execution of deeds, agreements and documents: Quick guides to execution and witnessing in Australian states and territories</ital>
                          </link>
                          .
                        </paratext>
                      </para>
                    </list.item>
                  </list>
                </list.item>
              </list>
              <division id="a267648" level="2">
                <head align="left" preservecase="true">
                  <headtext>Drafting tips and assumptions</headtext>
                </head>
                <para>
                  <paratext>When drafting the document, ensure that:</paratext>
                </para>
                <list type="bulleted">
                  <list.item>
                    <para>
                      <paratext>
                        The testimonium at the top of the execution page (above the execution blocks) clearly indicates that the document is 
                        <bold>executed as an agreement</bold>
                         and not a deed.
                      </paratext>
                    </para>
                  </list.item>
                  <list.item>
                    <para>
                      <paratext>Each execution block correctly reflects:</paratext>
                    </para>
                    <list type="bulleted">
                      <list.item>
                        <para>
                          <paratext>
                            the 
                            <bold>identity</bold>
                             and 
                            <bold>legal nature</bold>
                             of the person or entity that is party to the document (for example, for a company registered under the CA 2001, recite the full registered company name and ABN or ACN of that company, not just the business name under which that company may be trading);
                          </paratext>
                        </para>
                      </list.item>
                      <list.item>
                        <para>
                          <paratext>
                            the 
                            <bold>capacity</bold>
                             in which that person or entity is signing (for example, whether it is signing in its own right, as an 
                            <link href="w-013-8313" style="ACTLinkPLCtoPLC">
                              <bold>
                                <ital>attorney</ital>
                              </bold>
                            </link>
                             or other 
                            <link href="w-005-7364" style="ACTLinkPLCtoPLC">
                              <bold>
                                <ital>agent</ital>
                              </bold>
                            </link>
                             for a 
                            <link href="w-004-5506" style="ACTLinkPLCtoPLC">
                              <bold>
                                <ital>principal</ital>
                              </bold>
                            </link>
                            , as a partner of a partnership, or as a 
                            <link href="w-003-4405" style="ACTLinkPLCtoPLC">
                              <bold>
                                <ital>trustee</ital>
                              </bold>
                            </link>
                             for a 
                            <link href="w-003-4403" style="ACTLinkPLCtoPLC">
                              <bold>
                                <ital>trust</ital>
                              </bold>
                            </link>
                            );
                          </paratext>
                        </para>
                      </list.item>
                      <list.item>
                        <para>
                          <paratext>
                            ideally, the 
                            <bold>name and office</bold>
                             (where relevant) of the individuals who are to actually sign the document on behalf of the relevant party. This does not have to be 
                            <bold>pre-filled</bold>
                             at the time of drafting if it is not known ahead of time who will be signing (for example, it is common for company documents to be signed by the company 
                            <link href="w-004-2116" style="ACTLinkPLCtoPLC">
                              <bold>
                                <ital>officers</ital>
                              </bold>
                            </link>
                             who happen to be available at the relevant time), but the individual's name and office should be inserted, by hand if necessary, at the time of signing; and
                          </paratext>
                        </para>
                      </list.item>
                      <list.item>
                        <para>
                          <paratext>
                            where the agreement is 
                            <bold>witnessed remotely</bold>
                            , any legislative requirements for the relevant jurisdiction (for example, the endorsement required by section 14G of the 
                            <ital>Electronic Transactions Act 2000</ital>
                             (NSW)). For details of these requirements in each state and territory, see 
                            <link anchor="a727569" href="w-002-5372" style="ACTLinkPLCtoPLC">
                              <ital>Toolkit, Execution of deeds, agreements and documents: Quick guides to execution and witnessing in Australian states and territories</ital>
                            </link>
                            .
                          </paratext>
                        </para>
                      </list.item>
                    </list>
                  </list.item>
                </list>
                <division id="a248342" level="3">
                  <head align="left" preservecase="true">
                    <headtext>Standard form execution blocks</headtext>
                  </head>
                  <para>
                    <paratext>Insert the appropriate execution block as required for each party to this document.</paratext>
                  </para>
                  <para>
                    <paratext>For commonly used standard form execution blocks for:</paratext>
                  </para>
                  <list type="bulleted">
                    <list.item>
                      <para>
                        <paratext>
                          A company executing an agreement by signature of one 
                          <link href="w-004-5333" style="ACTLinkPLCtoPLC">
                            <bold>
                              <ital>director</ital>
                            </bold>
                          </link>
                           and either a second director or a company secretary under section 127(1)(a) or (b) of the CA 2001, see 
                          <link href="w-001-9148" style="ACTLinkPLCtoPLC">
                            <ital>Standard clause, Execution block (agreement) company: by signature of two directors OR one director and one company secretary</ital>
                          </link>
                          .
                        </paratext>
                      </para>
                    </list.item>
                    <list.item>
                      <para>
                        <paratext>
                          A 
                          <link href="w-005-9421" style="ACTLinkPLCtoPLC">
                            <bold>
                              <ital>proprietary company</ital>
                            </bold>
                          </link>
                           executing an agreement by signature of a sole director, where that director is also sole company secretary or the company has no company secretary, under section 127(1)(c) of the CA 2001, see 
                          <link href="w-001-9147" style="ACTLinkPLCtoPLC">
                            <ital>Standard clause, Execution block (agreement): sole director proprietary company: by signature of sole director</ital>
                          </link>
                          .
                        </paratext>
                      </para>
                    </list.item>
                    <list.item>
                      <para>
                        <paratext>
                          A company executing an agreement by signature of an individual acting with the company's express or implied authority and on behalf of the company (such as an attorney) under section 126(1) of the CA 2001, see 
                          <link href="w-001-9149" style="ACTLinkPLCtoPLC">
                            <ital>Standard clause, Execution block: company: by signature of attorney or other individual agent under section 126</ital>
                          </link>
                          .
                        </paratext>
                      </para>
                    </list.item>
                    <list.item>
                      <para>
                        <paratext>
                          An individual executing an agreement by their own signature, see 
                          <link href="w-001-9146" style="ACTLinkPLCtoPLC">
                            <ital>Standard clause, Execution block (agreement): individual</ital>
                          </link>
                          .
                        </paratext>
                      </para>
                    </list.item>
                  </list>
                  <para>
                    <paratext>
                      Other types of parties signing in other capacities, see 
                      <link anchor="a571616" href="w-002-5372" style="ACTLinkPLCtoPLC">
                        <ital>Toolkit, Execution of deeds, agreements and documents: Standard form signature blocks</ital>
                      </link>
                      .
                    </paratext>
                  </para>
                </division>
              </division>
            </division>
          </drafting.note>
        </signature>
      </body>
    </standard.doc>
  </n-docbody>
</n-document>
</file>

<file path=customXml/itemProps1.xml><?xml version="1.0" encoding="utf-8"?>
<ds:datastoreItem xmlns:ds="http://schemas.openxmlformats.org/officeDocument/2006/customXml" ds:itemID="{11D2C116-9C56-4411-94E3-5EA9A6AD543E}">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3.xml><?xml version="1.0" encoding="utf-8"?>
<ds:datastoreItem xmlns:ds="http://schemas.openxmlformats.org/officeDocument/2006/customXml" ds:itemID="{E774991D-CEA8-43B5-B510-B5D9695919D0}">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B4E9BAEF-54B6-45A2-B853-55A99263A1CA}">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GentTemplate_AUTemplate</Template>
  <TotalTime>17079</TotalTime>
  <Pages>29</Pages>
  <Words>24142</Words>
  <Characters>137616</Characters>
  <Application>Microsoft Office Word</Application>
  <DocSecurity>0</DocSecurity>
  <Lines>1146</Lines>
  <Paragraphs>322</Paragraphs>
  <ScaleCrop>false</ScaleCrop>
  <HeadingPairs>
    <vt:vector size="2" baseType="variant">
      <vt:variant>
        <vt:lpstr>Title</vt:lpstr>
      </vt:variant>
      <vt:variant>
        <vt:i4>1</vt:i4>
      </vt:variant>
    </vt:vector>
  </HeadingPairs>
  <TitlesOfParts>
    <vt:vector size="1" baseType="lpstr">
      <vt:lpstr/>
    </vt:vector>
  </TitlesOfParts>
  <Company>ThomsonReuters</Company>
  <LinksUpToDate>false</LinksUpToDate>
  <CharactersWithSpaces>161436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 Episap Software as a Service agreement.</dc:title>
  <cp:lastModifiedBy>Episap</cp:lastModifiedBy>
  <cp:revision>816</cp:revision>
  <dcterms:created xsi:type="dcterms:W3CDTF">2016-04-18T06:26:00Z</dcterms:created>
  <dcterms:modified xsi:type="dcterms:W3CDTF">2026-06-12T06:29:00Z</dcterms:modified>
  <dc:creator>Episap</dc:creator>
</cp:coreProperties>
</file>